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540" w:lineRule="auto"/>
        <w:ind w:left="3458" w:right="76" w:hanging="3350"/>
        <w:jc w:val="center"/>
        <w:rPr>
          <w:rFonts w:ascii="宋体" w:hAnsi="宋体" w:eastAsia="宋体" w:cs="宋体"/>
          <w:sz w:val="43"/>
          <w:szCs w:val="43"/>
        </w:rPr>
      </w:pPr>
      <w:r>
        <w:rPr>
          <w:rFonts w:hint="eastAsia" w:ascii="宋体" w:hAnsi="宋体" w:eastAsia="宋体" w:cs="宋体"/>
          <w:spacing w:val="-1"/>
          <w:sz w:val="43"/>
          <w:szCs w:val="43"/>
          <w:lang w:val="en-US" w:eastAsia="zh-CN"/>
          <w14:textOutline w14:w="7975" w14:cap="sq" w14:cmpd="sng" w14:algn="ctr">
            <w14:solidFill>
              <w14:srgbClr w14:val="000000"/>
            </w14:solidFill>
            <w14:prstDash w14:val="solid"/>
            <w14:bevel/>
          </w14:textOutline>
        </w:rPr>
        <w:t>南昌市高新区人民医院</w:t>
      </w:r>
      <w:r>
        <w:rPr>
          <w:rFonts w:hint="eastAsia" w:ascii="宋体" w:hAnsi="宋体" w:eastAsia="宋体" w:cs="宋体"/>
          <w:spacing w:val="-1"/>
          <w:sz w:val="43"/>
          <w:szCs w:val="43"/>
          <w:lang w:eastAsia="zh-CN"/>
          <w14:textOutline w14:w="7975" w14:cap="sq" w14:cmpd="sng" w14:algn="ctr">
            <w14:solidFill>
              <w14:srgbClr w14:val="000000"/>
            </w14:solidFill>
            <w14:prstDash w14:val="solid"/>
            <w14:bevel/>
          </w14:textOutline>
        </w:rPr>
        <w:t>2022年</w:t>
      </w:r>
      <w:r>
        <w:rPr>
          <w:rFonts w:ascii="宋体" w:hAnsi="宋体" w:eastAsia="宋体" w:cs="宋体"/>
          <w:spacing w:val="-1"/>
          <w:sz w:val="43"/>
          <w:szCs w:val="43"/>
          <w14:textOutline w14:w="7975" w14:cap="sq" w14:cmpd="sng" w14:algn="ctr">
            <w14:solidFill>
              <w14:srgbClr w14:val="000000"/>
            </w14:solidFill>
            <w14:prstDash w14:val="solid"/>
            <w14:bevel/>
          </w14:textOutline>
        </w:rPr>
        <w:t>度决</w:t>
      </w:r>
      <w:r>
        <w:rPr>
          <w:rFonts w:ascii="宋体" w:hAnsi="宋体" w:eastAsia="宋体" w:cs="宋体"/>
          <w:sz w:val="43"/>
          <w:szCs w:val="43"/>
          <w14:textOutline w14:w="7975" w14:cap="sq" w14:cmpd="sng" w14:algn="ctr">
            <w14:solidFill>
              <w14:srgbClr w14:val="000000"/>
            </w14:solidFill>
            <w14:prstDash w14:val="solid"/>
            <w14:bevel/>
          </w14:textOutline>
        </w:rPr>
        <w:t>算</w:t>
      </w:r>
    </w:p>
    <w:p>
      <w:pPr>
        <w:spacing w:before="140" w:line="540" w:lineRule="auto"/>
        <w:ind w:left="3458" w:right="76" w:hanging="3350"/>
        <w:jc w:val="center"/>
        <w:rPr>
          <w:rFonts w:ascii="宋体" w:hAnsi="宋体" w:eastAsia="宋体" w:cs="宋体"/>
          <w:sz w:val="40"/>
          <w:szCs w:val="40"/>
        </w:rPr>
      </w:pPr>
      <w:r>
        <w:rPr>
          <w:rFonts w:ascii="宋体" w:hAnsi="宋体" w:eastAsia="宋体" w:cs="宋体"/>
          <w:spacing w:val="-13"/>
          <w:sz w:val="40"/>
          <w:szCs w:val="40"/>
          <w14:textOutline w14:w="7277" w14:cap="sq" w14:cmpd="sng" w14:algn="ctr">
            <w14:solidFill>
              <w14:srgbClr w14:val="000000"/>
            </w14:solidFill>
            <w14:prstDash w14:val="solid"/>
            <w14:bevel/>
          </w14:textOutline>
        </w:rPr>
        <w:t>目</w:t>
      </w:r>
      <w:r>
        <w:rPr>
          <w:rFonts w:ascii="宋体" w:hAnsi="宋体" w:eastAsia="宋体" w:cs="宋体"/>
          <w:spacing w:val="-12"/>
          <w:sz w:val="40"/>
          <w:szCs w:val="40"/>
        </w:rPr>
        <w:t xml:space="preserve">    </w:t>
      </w:r>
      <w:r>
        <w:rPr>
          <w:rFonts w:ascii="宋体" w:hAnsi="宋体" w:eastAsia="宋体" w:cs="宋体"/>
          <w:spacing w:val="-12"/>
          <w:sz w:val="40"/>
          <w:szCs w:val="40"/>
          <w14:textOutline w14:w="7277" w14:cap="sq" w14:cmpd="sng" w14:algn="ctr">
            <w14:solidFill>
              <w14:srgbClr w14:val="000000"/>
            </w14:solidFill>
            <w14:prstDash w14:val="solid"/>
            <w14:bevel/>
          </w14:textOutline>
        </w:rPr>
        <w:t>录</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pacing w:val="4"/>
          <w:sz w:val="31"/>
          <w:szCs w:val="31"/>
        </w:rPr>
      </w:pPr>
      <w:r>
        <w:rPr>
          <w:rFonts w:ascii="黑体" w:hAnsi="黑体" w:eastAsia="黑体" w:cs="黑体"/>
          <w:spacing w:val="4"/>
          <w:sz w:val="31"/>
          <w:szCs w:val="31"/>
        </w:rPr>
        <w:t xml:space="preserve">第一部分  </w:t>
      </w:r>
      <w:r>
        <w:rPr>
          <w:rFonts w:hint="eastAsia" w:ascii="黑体" w:hAnsi="黑体" w:eastAsia="黑体" w:cs="黑体"/>
          <w:spacing w:val="4"/>
          <w:sz w:val="31"/>
          <w:szCs w:val="31"/>
          <w:lang w:val="en-US" w:eastAsia="zh-CN"/>
        </w:rPr>
        <w:t>单位</w:t>
      </w:r>
      <w:r>
        <w:rPr>
          <w:rFonts w:ascii="黑体" w:hAnsi="黑体" w:eastAsia="黑体" w:cs="黑体"/>
          <w:spacing w:val="4"/>
          <w:sz w:val="31"/>
          <w:szCs w:val="31"/>
        </w:rPr>
        <w:t>概况</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w:t>
      </w:r>
      <w:r>
        <w:rPr>
          <w:rFonts w:hint="eastAsia" w:ascii="仿宋" w:hAnsi="仿宋" w:eastAsia="仿宋" w:cs="仿宋"/>
          <w:spacing w:val="6"/>
          <w:position w:val="3"/>
          <w:sz w:val="31"/>
          <w:szCs w:val="31"/>
          <w:lang w:val="en-US" w:eastAsia="zh-CN"/>
        </w:rPr>
        <w:t>单位</w:t>
      </w:r>
      <w:r>
        <w:rPr>
          <w:rFonts w:ascii="仿宋" w:hAnsi="仿宋" w:eastAsia="仿宋" w:cs="仿宋"/>
          <w:spacing w:val="6"/>
          <w:position w:val="3"/>
          <w:sz w:val="31"/>
          <w:szCs w:val="31"/>
        </w:rPr>
        <w:t>主要职责</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w:t>
      </w:r>
      <w:r>
        <w:rPr>
          <w:rFonts w:hint="eastAsia" w:ascii="仿宋" w:hAnsi="仿宋" w:eastAsia="仿宋" w:cs="仿宋"/>
          <w:spacing w:val="6"/>
          <w:position w:val="3"/>
          <w:sz w:val="31"/>
          <w:szCs w:val="31"/>
          <w:lang w:val="en-US" w:eastAsia="zh-CN"/>
        </w:rPr>
        <w:t>单位</w:t>
      </w:r>
      <w:r>
        <w:rPr>
          <w:rFonts w:ascii="仿宋" w:hAnsi="仿宋" w:eastAsia="仿宋" w:cs="仿宋"/>
          <w:spacing w:val="6"/>
          <w:position w:val="3"/>
          <w:sz w:val="31"/>
          <w:szCs w:val="31"/>
        </w:rPr>
        <w:t>基本情况</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pacing w:val="4"/>
          <w:sz w:val="31"/>
          <w:szCs w:val="31"/>
        </w:rPr>
      </w:pPr>
      <w:r>
        <w:rPr>
          <w:rFonts w:ascii="黑体" w:hAnsi="黑体" w:eastAsia="黑体" w:cs="黑体"/>
          <w:spacing w:val="4"/>
          <w:sz w:val="31"/>
          <w:szCs w:val="31"/>
        </w:rPr>
        <w:t xml:space="preserve">第二部分  </w:t>
      </w:r>
      <w:r>
        <w:rPr>
          <w:rFonts w:hint="eastAsia" w:ascii="黑体" w:hAnsi="黑体" w:eastAsia="黑体" w:cs="黑体"/>
          <w:spacing w:val="4"/>
          <w:sz w:val="31"/>
          <w:szCs w:val="31"/>
          <w:lang w:eastAsia="zh-CN"/>
        </w:rPr>
        <w:t>2022年</w:t>
      </w:r>
      <w:r>
        <w:rPr>
          <w:rFonts w:ascii="黑体" w:hAnsi="黑体" w:eastAsia="黑体" w:cs="黑体"/>
          <w:spacing w:val="4"/>
          <w:sz w:val="31"/>
          <w:szCs w:val="31"/>
        </w:rPr>
        <w:t>度</w:t>
      </w:r>
      <w:r>
        <w:rPr>
          <w:rFonts w:hint="eastAsia" w:ascii="黑体" w:hAnsi="黑体" w:eastAsia="黑体" w:cs="黑体"/>
          <w:spacing w:val="4"/>
          <w:sz w:val="31"/>
          <w:szCs w:val="31"/>
          <w:lang w:eastAsia="zh-CN"/>
        </w:rPr>
        <w:t>单位</w:t>
      </w:r>
      <w:r>
        <w:rPr>
          <w:rFonts w:ascii="黑体" w:hAnsi="黑体" w:eastAsia="黑体" w:cs="黑体"/>
          <w:spacing w:val="4"/>
          <w:sz w:val="31"/>
          <w:szCs w:val="31"/>
        </w:rPr>
        <w:t>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一、收入支出决算总表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二、收入决算表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三、支出决算表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四、财政拨款收入支出决算总表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五、一般公共预算财政拨款支出决算表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六、一般公共预算财政拨款基本支出决算表</w:t>
      </w:r>
    </w:p>
    <w:p>
      <w:pPr>
        <w:keepNext w:val="0"/>
        <w:keepLines w:val="0"/>
        <w:pageBreakBefore w:val="0"/>
        <w:widowControl w:val="0"/>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七、一般公共预算财政拨款“三公”经费支出决算</w:t>
      </w:r>
    </w:p>
    <w:p>
      <w:pPr>
        <w:keepNext w:val="0"/>
        <w:keepLines w:val="0"/>
        <w:pageBreakBefore w:val="0"/>
        <w:widowControl w:val="0"/>
        <w:kinsoku w:val="0"/>
        <w:wordWrap/>
        <w:overflowPunct/>
        <w:topLinePunct w:val="0"/>
        <w:autoSpaceDE w:val="0"/>
        <w:autoSpaceDN w:val="0"/>
        <w:bidi w:val="0"/>
        <w:adjustRightInd w:val="0"/>
        <w:snapToGrid w:val="0"/>
        <w:spacing w:before="220" w:line="240" w:lineRule="auto"/>
        <w:ind w:left="669" w:leftChars="0"/>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八、政府性基金预算财政拨款收入支出决算表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九、国有资本经营预算财政拨款支出决算表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十、国有资产占用情况表</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z w:val="31"/>
          <w:szCs w:val="31"/>
        </w:rPr>
      </w:pPr>
      <w:r>
        <w:rPr>
          <w:rFonts w:ascii="黑体" w:hAnsi="黑体" w:eastAsia="黑体" w:cs="黑体"/>
          <w:spacing w:val="4"/>
          <w:sz w:val="31"/>
          <w:szCs w:val="31"/>
        </w:rPr>
        <w:t xml:space="preserve">第三部分  </w:t>
      </w:r>
      <w:r>
        <w:rPr>
          <w:rFonts w:hint="eastAsia" w:ascii="黑体" w:hAnsi="黑体" w:eastAsia="黑体" w:cs="黑体"/>
          <w:spacing w:val="4"/>
          <w:sz w:val="31"/>
          <w:szCs w:val="31"/>
          <w:lang w:eastAsia="zh-CN"/>
        </w:rPr>
        <w:t>2022年</w:t>
      </w:r>
      <w:r>
        <w:rPr>
          <w:rFonts w:ascii="黑体" w:hAnsi="黑体" w:eastAsia="黑体" w:cs="黑体"/>
          <w:spacing w:val="4"/>
          <w:sz w:val="31"/>
          <w:szCs w:val="31"/>
        </w:rPr>
        <w:t>度</w:t>
      </w:r>
      <w:r>
        <w:rPr>
          <w:rFonts w:hint="eastAsia" w:ascii="黑体" w:hAnsi="黑体" w:eastAsia="黑体" w:cs="黑体"/>
          <w:spacing w:val="4"/>
          <w:sz w:val="31"/>
          <w:szCs w:val="31"/>
          <w:lang w:eastAsia="zh-CN"/>
        </w:rPr>
        <w:t>单位</w:t>
      </w:r>
      <w:r>
        <w:rPr>
          <w:rFonts w:ascii="黑体" w:hAnsi="黑体" w:eastAsia="黑体" w:cs="黑体"/>
          <w:spacing w:val="4"/>
          <w:sz w:val="31"/>
          <w:szCs w:val="31"/>
        </w:rPr>
        <w:t>决算情况</w:t>
      </w:r>
      <w:r>
        <w:rPr>
          <w:rFonts w:ascii="黑体" w:hAnsi="黑体" w:eastAsia="黑体" w:cs="黑体"/>
          <w:spacing w:val="3"/>
          <w:sz w:val="31"/>
          <w:szCs w:val="31"/>
        </w:rPr>
        <w:t>说</w:t>
      </w:r>
      <w:r>
        <w:rPr>
          <w:rFonts w:ascii="黑体" w:hAnsi="黑体" w:eastAsia="黑体" w:cs="黑体"/>
          <w:sz w:val="31"/>
          <w:szCs w:val="31"/>
        </w:rPr>
        <w:t>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一、收入决算情况说明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二、支出决算情况说明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三、财政拨款支出决算情况说明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四、一般公共预算财政拨款基本支出决算情况说明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五、一般公共预算财政拨款“三公”经费支出决算</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66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六、机关运行经费支出情况说明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七、政府采购支出情况说明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八、国有资产占用情况说明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九、预算绩效情况说明</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hint="eastAsia" w:ascii="黑体" w:hAnsi="黑体" w:eastAsia="黑体" w:cs="黑体"/>
          <w:spacing w:val="4"/>
          <w:sz w:val="31"/>
          <w:szCs w:val="31"/>
        </w:rPr>
      </w:pPr>
      <w:r>
        <w:rPr>
          <w:rFonts w:hint="eastAsia" w:ascii="黑体" w:hAnsi="黑体" w:eastAsia="黑体" w:cs="黑体"/>
          <w:spacing w:val="4"/>
          <w:sz w:val="31"/>
          <w:szCs w:val="31"/>
        </w:rPr>
        <w:t>第四部分  名词解释</w:t>
      </w:r>
    </w:p>
    <w:p>
      <w:pPr>
        <w:keepNext w:val="0"/>
        <w:keepLines w:val="0"/>
        <w:pageBreakBefore w:val="0"/>
        <w:kinsoku w:val="0"/>
        <w:wordWrap/>
        <w:overflowPunct/>
        <w:topLinePunct w:val="0"/>
        <w:autoSpaceDE w:val="0"/>
        <w:autoSpaceDN w:val="0"/>
        <w:bidi w:val="0"/>
        <w:adjustRightInd w:val="0"/>
        <w:snapToGrid w:val="0"/>
        <w:spacing w:line="240" w:lineRule="auto"/>
        <w:textAlignment w:val="baseline"/>
        <w:sectPr>
          <w:footerReference r:id="rId3" w:type="default"/>
          <w:footerReference r:id="rId4" w:type="even"/>
          <w:pgSz w:w="11906" w:h="16839"/>
          <w:pgMar w:top="1440" w:right="1803" w:bottom="1440" w:left="1803" w:header="0" w:footer="1043"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ind w:left="0" w:leftChars="0" w:right="0" w:rightChars="0" w:firstLine="0" w:firstLineChars="0"/>
        <w:jc w:val="center"/>
        <w:textAlignment w:val="auto"/>
        <w:outlineLvl w:val="9"/>
        <w:rPr>
          <w:rFonts w:hint="eastAsia"/>
          <w:sz w:val="32"/>
          <w:szCs w:val="32"/>
        </w:rPr>
      </w:pPr>
      <w:r>
        <w:rPr>
          <w:rFonts w:hint="eastAsia" w:ascii="黑体" w:hAnsi="黑体" w:eastAsia="黑体"/>
          <w:b w:val="0"/>
          <w:bCs/>
          <w:sz w:val="32"/>
          <w:szCs w:val="32"/>
        </w:rPr>
        <w:t>第一部分</w:t>
      </w:r>
      <w:r>
        <w:rPr>
          <w:rFonts w:hint="eastAsia" w:ascii="黑体" w:hAnsi="黑体" w:eastAsia="黑体"/>
          <w:b w:val="0"/>
          <w:bCs/>
          <w:sz w:val="32"/>
          <w:szCs w:val="30"/>
        </w:rPr>
        <w:t xml:space="preserve">  </w:t>
      </w:r>
      <w:r>
        <w:rPr>
          <w:rFonts w:hint="eastAsia" w:ascii="黑体" w:hAnsi="黑体" w:eastAsia="黑体"/>
          <w:b w:val="0"/>
          <w:bCs/>
          <w:sz w:val="32"/>
          <w:szCs w:val="32"/>
          <w:lang w:eastAsia="zh-CN"/>
        </w:rPr>
        <w:t>单位</w:t>
      </w:r>
      <w:r>
        <w:rPr>
          <w:rFonts w:hint="eastAsia" w:ascii="黑体" w:hAnsi="黑体" w:eastAsia="黑体"/>
          <w:b w:val="0"/>
          <w:bCs/>
          <w:sz w:val="32"/>
          <w:szCs w:val="30"/>
        </w:rPr>
        <w:t>概况</w:t>
      </w:r>
    </w:p>
    <w:p>
      <w:pPr>
        <w:ind w:firstLine="630"/>
        <w:jc w:val="left"/>
        <w:rPr>
          <w:rFonts w:hint="eastAsia" w:ascii="黑体" w:hAnsi="黑体" w:eastAsia="黑体"/>
          <w:sz w:val="32"/>
          <w:szCs w:val="30"/>
        </w:rPr>
      </w:pPr>
      <w:r>
        <w:rPr>
          <w:rFonts w:hint="eastAsia" w:ascii="黑体" w:hAnsi="黑体" w:eastAsia="黑体"/>
          <w:sz w:val="32"/>
          <w:szCs w:val="30"/>
        </w:rPr>
        <w:t>一、</w:t>
      </w:r>
      <w:r>
        <w:rPr>
          <w:rFonts w:hint="eastAsia" w:ascii="黑体" w:hAnsi="黑体" w:eastAsia="黑体"/>
          <w:sz w:val="32"/>
          <w:szCs w:val="30"/>
          <w:lang w:eastAsia="zh-CN"/>
        </w:rPr>
        <w:t>单位</w:t>
      </w:r>
      <w:r>
        <w:rPr>
          <w:rFonts w:hint="eastAsia" w:ascii="黑体" w:hAnsi="黑体" w:eastAsia="黑体"/>
          <w:sz w:val="32"/>
          <w:szCs w:val="30"/>
        </w:rPr>
        <w:t>主要职能</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南昌市高新区人民医院于2019年5月28日正式开业，是集临床医疗、科研、教学、健康管理、预防保健为一体的政府办非营利性三级综合医院，建筑面积约10.4万平方米，拥有编制床位600张，覆盖高新区及周边县区人口。医院承担高新区基本医疗与保健等公共卫生服务工作，开展危急重症和疑难病症的诊疗工作；负责传染病疑似病人、诊断病人的集中收治和危重传染病人的救治，承担传染病领域的科研、专业技术人员培训和区域内技术指导工作；依托人才、技术、设备优势，负责开展医学科研与新技术项目推广工作；承担省内医学院校临床教育和基层医疗卫生单位专业人员的进修、培训和业务指导；负责对贫困人群实施医疗救助等。</w:t>
      </w:r>
    </w:p>
    <w:p>
      <w:pPr>
        <w:ind w:firstLine="630"/>
        <w:jc w:val="left"/>
        <w:rPr>
          <w:rFonts w:hint="eastAsia" w:ascii="黑体" w:hAnsi="黑体" w:eastAsia="黑体"/>
          <w:sz w:val="32"/>
          <w:szCs w:val="30"/>
        </w:rPr>
      </w:pPr>
      <w:r>
        <w:rPr>
          <w:rFonts w:hint="eastAsia" w:ascii="黑体" w:hAnsi="黑体" w:eastAsia="黑体"/>
          <w:sz w:val="32"/>
          <w:szCs w:val="30"/>
        </w:rPr>
        <w:t>二、</w:t>
      </w:r>
      <w:r>
        <w:rPr>
          <w:rFonts w:hint="eastAsia" w:ascii="黑体" w:hAnsi="黑体" w:eastAsia="黑体"/>
          <w:sz w:val="32"/>
          <w:szCs w:val="30"/>
          <w:lang w:eastAsia="zh-CN"/>
        </w:rPr>
        <w:t>单位</w:t>
      </w:r>
      <w:r>
        <w:rPr>
          <w:rFonts w:hint="eastAsia" w:ascii="黑体" w:hAnsi="黑体" w:eastAsia="黑体"/>
          <w:sz w:val="32"/>
          <w:szCs w:val="30"/>
        </w:rPr>
        <w:t>基本情况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_GB2312" w:eastAsia="仿宋_GB2312"/>
          <w:sz w:val="32"/>
          <w:szCs w:val="30"/>
        </w:rPr>
        <w:t>本</w:t>
      </w:r>
      <w:r>
        <w:rPr>
          <w:rFonts w:hint="eastAsia" w:ascii="仿宋_GB2312" w:hAnsi="仿宋_GB2312" w:eastAsia="仿宋_GB2312"/>
          <w:sz w:val="32"/>
          <w:szCs w:val="30"/>
          <w:lang w:eastAsia="zh-CN"/>
        </w:rPr>
        <w:t>单位2022年</w:t>
      </w:r>
      <w:r>
        <w:rPr>
          <w:rFonts w:hint="eastAsia" w:ascii="仿宋_GB2312" w:hAnsi="仿宋_GB2312" w:eastAsia="仿宋_GB2312"/>
          <w:sz w:val="32"/>
          <w:szCs w:val="30"/>
        </w:rPr>
        <w:t>年末实有人数</w:t>
      </w:r>
      <w:r>
        <w:rPr>
          <w:rFonts w:hint="eastAsia" w:ascii="仿宋_GB2312" w:hAnsi="仿宋" w:eastAsia="仿宋_GB2312"/>
          <w:sz w:val="32"/>
          <w:szCs w:val="32"/>
          <w:lang w:val="en-US" w:eastAsia="zh-CN"/>
        </w:rPr>
        <w:t>587</w:t>
      </w:r>
      <w:r>
        <w:rPr>
          <w:rFonts w:hint="eastAsia" w:ascii="仿宋_GB2312" w:hAnsi="仿宋_GB2312" w:eastAsia="仿宋_GB2312"/>
          <w:sz w:val="32"/>
          <w:szCs w:val="30"/>
        </w:rPr>
        <w:t>人，</w:t>
      </w:r>
      <w:r>
        <w:rPr>
          <w:rFonts w:hint="eastAsia" w:ascii="仿宋" w:hAnsi="仿宋" w:eastAsia="仿宋"/>
          <w:sz w:val="30"/>
          <w:szCs w:val="30"/>
        </w:rPr>
        <w:t>其中职工</w:t>
      </w:r>
      <w:r>
        <w:rPr>
          <w:rFonts w:hint="eastAsia" w:ascii="仿宋" w:hAnsi="仿宋" w:eastAsia="仿宋"/>
          <w:sz w:val="30"/>
          <w:szCs w:val="30"/>
          <w:lang w:val="en-US" w:eastAsia="zh-CN"/>
        </w:rPr>
        <w:t>498</w:t>
      </w:r>
      <w:r>
        <w:rPr>
          <w:rFonts w:hint="eastAsia" w:ascii="仿宋" w:hAnsi="仿宋" w:eastAsia="仿宋"/>
          <w:sz w:val="30"/>
          <w:szCs w:val="30"/>
        </w:rPr>
        <w:t>人</w:t>
      </w:r>
      <w:r>
        <w:rPr>
          <w:rFonts w:hint="eastAsia" w:ascii="仿宋" w:hAnsi="仿宋" w:eastAsia="仿宋"/>
          <w:sz w:val="30"/>
          <w:szCs w:val="30"/>
          <w:lang w:eastAsia="zh-CN"/>
        </w:rPr>
        <w:t>，</w:t>
      </w:r>
      <w:r>
        <w:rPr>
          <w:rFonts w:hint="eastAsia" w:ascii="仿宋_GB2312" w:hAnsi="仿宋" w:eastAsia="仿宋_GB2312"/>
          <w:sz w:val="32"/>
          <w:szCs w:val="32"/>
        </w:rPr>
        <w:t>一附院</w:t>
      </w:r>
      <w:r>
        <w:rPr>
          <w:rFonts w:hint="eastAsia" w:ascii="仿宋_GB2312" w:hAnsi="仿宋" w:eastAsia="仿宋_GB2312"/>
          <w:sz w:val="32"/>
          <w:szCs w:val="32"/>
          <w:lang w:val="en-US" w:eastAsia="zh-CN"/>
        </w:rPr>
        <w:t>支援</w:t>
      </w:r>
      <w:r>
        <w:rPr>
          <w:rFonts w:hint="eastAsia" w:ascii="仿宋_GB2312" w:hAnsi="仿宋" w:eastAsia="仿宋_GB2312"/>
          <w:sz w:val="32"/>
          <w:szCs w:val="32"/>
        </w:rPr>
        <w:t>专家</w:t>
      </w:r>
      <w:r>
        <w:rPr>
          <w:rFonts w:hint="eastAsia" w:ascii="仿宋_GB2312" w:hAnsi="仿宋" w:eastAsia="仿宋_GB2312"/>
          <w:sz w:val="32"/>
          <w:szCs w:val="32"/>
          <w:lang w:val="en-US" w:eastAsia="zh-CN"/>
        </w:rPr>
        <w:t>及定岗高新人员89</w:t>
      </w:r>
      <w:r>
        <w:rPr>
          <w:rFonts w:hint="eastAsia" w:ascii="仿宋_GB2312" w:hAnsi="仿宋" w:eastAsia="仿宋_GB2312"/>
          <w:sz w:val="32"/>
          <w:szCs w:val="32"/>
        </w:rPr>
        <w:t>人。</w:t>
      </w: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numPr>
          <w:ilvl w:val="0"/>
          <w:numId w:val="1"/>
        </w:numPr>
        <w:spacing w:line="360" w:lineRule="auto"/>
        <w:jc w:val="center"/>
        <w:rPr>
          <w:rFonts w:ascii="宋体" w:hAnsi="宋体" w:eastAsia="宋体" w:cs="宋体"/>
          <w:spacing w:val="4"/>
          <w:sz w:val="36"/>
          <w:szCs w:val="36"/>
          <w14:textOutline w14:w="5791" w14:cap="sq" w14:cmpd="sng" w14:algn="ctr">
            <w14:solidFill>
              <w14:srgbClr w14:val="000000"/>
            </w14:solidFill>
            <w14:prstDash w14:val="solid"/>
            <w14:bevel/>
          </w14:textOutline>
        </w:rPr>
      </w:pPr>
      <w:r>
        <w:rPr>
          <w:rFonts w:hint="eastAsia" w:ascii="宋体" w:hAnsi="宋体" w:eastAsia="宋体" w:cs="宋体"/>
          <w:spacing w:val="4"/>
          <w:sz w:val="36"/>
          <w:szCs w:val="36"/>
          <w:lang w:eastAsia="zh-CN"/>
          <w14:textOutline w14:w="5791" w14:cap="sq" w14:cmpd="sng" w14:algn="ctr">
            <w14:solidFill>
              <w14:srgbClr w14:val="000000"/>
            </w14:solidFill>
            <w14:prstDash w14:val="solid"/>
            <w14:bevel/>
          </w14:textOutline>
        </w:rPr>
        <w:t>2022年</w:t>
      </w:r>
      <w:r>
        <w:rPr>
          <w:rFonts w:hint="eastAsia" w:ascii="宋体" w:hAnsi="宋体" w:eastAsia="宋体" w:cs="宋体"/>
          <w:spacing w:val="4"/>
          <w:sz w:val="36"/>
          <w:szCs w:val="36"/>
          <w14:textOutline w14:w="5791" w14:cap="sq" w14:cmpd="sng" w14:algn="ctr">
            <w14:solidFill>
              <w14:srgbClr w14:val="000000"/>
            </w14:solidFill>
            <w14:prstDash w14:val="solid"/>
            <w14:bevel/>
          </w14:textOutline>
        </w:rPr>
        <w:t>度</w:t>
      </w:r>
      <w:r>
        <w:rPr>
          <w:rFonts w:hint="eastAsia" w:ascii="宋体" w:hAnsi="宋体" w:eastAsia="宋体" w:cs="宋体"/>
          <w:spacing w:val="4"/>
          <w:sz w:val="36"/>
          <w:szCs w:val="36"/>
          <w:lang w:val="en-US" w:eastAsia="zh-CN"/>
          <w14:textOutline w14:w="5791" w14:cap="sq" w14:cmpd="sng" w14:algn="ctr">
            <w14:solidFill>
              <w14:srgbClr w14:val="000000"/>
            </w14:solidFill>
            <w14:prstDash w14:val="solid"/>
            <w14:bevel/>
          </w14:textOutline>
        </w:rPr>
        <w:t>单位</w:t>
      </w:r>
      <w:r>
        <w:rPr>
          <w:rFonts w:hint="eastAsia" w:ascii="宋体" w:hAnsi="宋体" w:eastAsia="宋体" w:cs="宋体"/>
          <w:spacing w:val="4"/>
          <w:sz w:val="36"/>
          <w:szCs w:val="36"/>
          <w14:textOutline w14:w="5791" w14:cap="sq" w14:cmpd="sng" w14:algn="ctr">
            <w14:solidFill>
              <w14:srgbClr w14:val="000000"/>
            </w14:solidFill>
            <w14:prstDash w14:val="solid"/>
            <w14:bevel/>
          </w14:textOutline>
        </w:rPr>
        <w:t>决算表</w:t>
      </w: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收入支出</w:t>
      </w:r>
      <w:r>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t>决算</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总表</w:t>
      </w:r>
    </w:p>
    <w:tbl>
      <w:tblPr>
        <w:tblStyle w:val="6"/>
        <w:tblW w:w="8498"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6"/>
        <w:gridCol w:w="552"/>
        <w:gridCol w:w="1056"/>
        <w:gridCol w:w="2664"/>
        <w:gridCol w:w="54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2666"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552"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056"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2664"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540"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020"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8"/>
                <w:szCs w:val="18"/>
              </w:rPr>
            </w:pPr>
            <w:r>
              <w:rPr>
                <w:rFonts w:hint="eastAsia" w:ascii="宋体" w:hAnsi="宋体"/>
                <w:color w:val="000000"/>
                <w:sz w:val="18"/>
                <w:szCs w:val="18"/>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3218" w:type="dxa"/>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default" w:ascii="Arial" w:hAnsi="Arial" w:eastAsia="宋体"/>
                <w:color w:val="000000"/>
                <w:sz w:val="18"/>
                <w:szCs w:val="18"/>
                <w:lang w:val="en-US" w:eastAsia="zh-CN"/>
              </w:rPr>
            </w:pPr>
            <w:r>
              <w:rPr>
                <w:rFonts w:hint="eastAsia" w:ascii="宋体" w:hAnsi="宋体"/>
                <w:color w:val="000000"/>
                <w:sz w:val="18"/>
                <w:szCs w:val="18"/>
              </w:rPr>
              <w:t>编制单位：南昌</w:t>
            </w:r>
            <w:r>
              <w:rPr>
                <w:rFonts w:hint="eastAsia" w:ascii="宋体" w:hAnsi="宋体" w:eastAsia="宋体"/>
                <w:color w:val="000000"/>
                <w:sz w:val="18"/>
                <w:szCs w:val="18"/>
                <w:lang w:val="en-US" w:eastAsia="zh-CN"/>
              </w:rPr>
              <w:t>市高新区人民医院</w:t>
            </w:r>
          </w:p>
        </w:tc>
        <w:tc>
          <w:tcPr>
            <w:tcW w:w="1056"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8"/>
                <w:szCs w:val="18"/>
              </w:rPr>
            </w:pPr>
            <w:r>
              <w:rPr>
                <w:rFonts w:hint="eastAsia" w:ascii="宋体" w:hAnsi="宋体" w:eastAsia="宋体"/>
                <w:color w:val="000000"/>
                <w:sz w:val="18"/>
                <w:szCs w:val="18"/>
                <w:lang w:eastAsia="zh-CN"/>
              </w:rPr>
              <w:t>2022年</w:t>
            </w:r>
            <w:r>
              <w:rPr>
                <w:rFonts w:hint="eastAsia" w:ascii="宋体" w:hAnsi="宋体"/>
                <w:color w:val="000000"/>
                <w:sz w:val="18"/>
                <w:szCs w:val="18"/>
              </w:rPr>
              <w:t>度</w:t>
            </w:r>
          </w:p>
        </w:tc>
        <w:tc>
          <w:tcPr>
            <w:tcW w:w="2664"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560" w:type="dxa"/>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8"/>
                <w:szCs w:val="18"/>
              </w:rPr>
            </w:pPr>
            <w:r>
              <w:rPr>
                <w:rFonts w:hint="eastAsia" w:ascii="宋体" w:hAnsi="宋体"/>
                <w:color w:val="00000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274"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收     入</w:t>
            </w:r>
          </w:p>
        </w:tc>
        <w:tc>
          <w:tcPr>
            <w:tcW w:w="4224" w:type="dxa"/>
            <w:gridSpan w:val="3"/>
            <w:tcBorders>
              <w:top w:val="single" w:color="000000" w:sz="6" w:space="0"/>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项    目</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行次</w:t>
            </w:r>
          </w:p>
        </w:tc>
        <w:tc>
          <w:tcPr>
            <w:tcW w:w="1056"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决算数</w:t>
            </w:r>
          </w:p>
        </w:tc>
        <w:tc>
          <w:tcPr>
            <w:tcW w:w="2664"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项目（按功能分类）</w:t>
            </w:r>
          </w:p>
        </w:tc>
        <w:tc>
          <w:tcPr>
            <w:tcW w:w="540"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行次</w:t>
            </w:r>
          </w:p>
        </w:tc>
        <w:tc>
          <w:tcPr>
            <w:tcW w:w="1020"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栏    次</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p>
        </w:tc>
        <w:tc>
          <w:tcPr>
            <w:tcW w:w="1056"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w:t>
            </w:r>
          </w:p>
        </w:tc>
        <w:tc>
          <w:tcPr>
            <w:tcW w:w="2664"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栏    次</w:t>
            </w:r>
          </w:p>
        </w:tc>
        <w:tc>
          <w:tcPr>
            <w:tcW w:w="540"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p>
        </w:tc>
        <w:tc>
          <w:tcPr>
            <w:tcW w:w="1020"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一、一般公共预算财政拨款收入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一、一般公共服务支出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32</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二、政府性基金预算财政拨款收入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二、外交支出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33</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三、国有资本经营预算财政拨款收入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三、国防支出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34</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四、上级补助收入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26.38</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四、公共安全支出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35</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五、事业收入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42,582.82</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五、教育支出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36</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六、经营收入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6</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六、科学技术支出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37</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七、附属单位上缴收入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7</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七、文化旅游体育与传媒支出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38</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八、其他收入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8</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八、社会保障和就业支出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39</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304.36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9</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九、卫生健康支出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40</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37,986.21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10</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十、节能环保支出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41</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11</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十一、城乡社区支出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42</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12</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十二、农林水支出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43</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13</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十三、交通运输支出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44</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14</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十四、资源勘探工业信息等支出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45</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15</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十五、商业服务业等支出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46</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16</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十六、金融支出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47</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17</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十七、援助其他地区支出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48</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18</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十八、自然资源海洋气象等支出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49</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19</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十九、住房保障支出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50</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524.38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20</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二十、粮油物资储备支出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51</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21</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二十一、国有资本经营预算支出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52</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22</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二十二、灾害防治及应急管理支出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53</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23</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二十三、其他支出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54</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24</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二十四、债务还本支出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55</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b/>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25</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二十五、债务付息支出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56</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26</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二十六、抗疫特别国债安排的支出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57</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本年收入合计</w:t>
            </w:r>
          </w:p>
        </w:tc>
        <w:tc>
          <w:tcPr>
            <w:tcW w:w="552" w:type="dxa"/>
            <w:tcBorders>
              <w:top w:val="nil"/>
              <w:left w:val="nil"/>
              <w:bottom w:val="nil"/>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27</w:t>
            </w:r>
          </w:p>
        </w:tc>
        <w:tc>
          <w:tcPr>
            <w:tcW w:w="1056"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42,609.20</w:t>
            </w:r>
          </w:p>
        </w:tc>
        <w:tc>
          <w:tcPr>
            <w:tcW w:w="2664"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本年支出合计</w:t>
            </w:r>
          </w:p>
        </w:tc>
        <w:tc>
          <w:tcPr>
            <w:tcW w:w="540"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58</w:t>
            </w:r>
          </w:p>
        </w:tc>
        <w:tc>
          <w:tcPr>
            <w:tcW w:w="1020"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38,814.95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 xml:space="preserve">  使用非财政拨款结余</w:t>
            </w:r>
          </w:p>
        </w:tc>
        <w:tc>
          <w:tcPr>
            <w:tcW w:w="5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28</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olor w:val="000000"/>
                <w:sz w:val="16"/>
                <w:szCs w:val="16"/>
                <w:lang w:eastAsia="zh-CN"/>
              </w:rPr>
            </w:pP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 xml:space="preserve">  结余分配                 </w:t>
            </w:r>
          </w:p>
        </w:tc>
        <w:tc>
          <w:tcPr>
            <w:tcW w:w="54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59</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olor w:val="000000"/>
                <w:sz w:val="16"/>
                <w:szCs w:val="16"/>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 xml:space="preserve">  年初结转和结余</w:t>
            </w:r>
          </w:p>
        </w:tc>
        <w:tc>
          <w:tcPr>
            <w:tcW w:w="5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29</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15,260.70</w:t>
            </w: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 xml:space="preserve">  年末结转和结余                                </w:t>
            </w:r>
          </w:p>
        </w:tc>
        <w:tc>
          <w:tcPr>
            <w:tcW w:w="54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60</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19,054.95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000000"/>
                <w:sz w:val="16"/>
                <w:szCs w:val="16"/>
              </w:rPr>
            </w:pPr>
          </w:p>
        </w:tc>
        <w:tc>
          <w:tcPr>
            <w:tcW w:w="5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30</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000000"/>
                <w:sz w:val="16"/>
                <w:szCs w:val="16"/>
              </w:rPr>
            </w:pPr>
          </w:p>
        </w:tc>
        <w:tc>
          <w:tcPr>
            <w:tcW w:w="54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61</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trPr>
        <w:tc>
          <w:tcPr>
            <w:tcW w:w="266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000000"/>
                <w:sz w:val="16"/>
                <w:szCs w:val="16"/>
              </w:rPr>
            </w:pPr>
            <w:r>
              <w:rPr>
                <w:rFonts w:hint="eastAsia" w:ascii="宋体" w:hAnsi="宋体"/>
                <w:b/>
                <w:color w:val="000000"/>
                <w:sz w:val="16"/>
                <w:szCs w:val="16"/>
              </w:rPr>
              <w:t>总计</w:t>
            </w:r>
          </w:p>
        </w:tc>
        <w:tc>
          <w:tcPr>
            <w:tcW w:w="5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31</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57,869.90</w:t>
            </w: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000000"/>
                <w:sz w:val="16"/>
                <w:szCs w:val="16"/>
              </w:rPr>
            </w:pPr>
            <w:r>
              <w:rPr>
                <w:rFonts w:hint="eastAsia" w:ascii="宋体" w:hAnsi="宋体"/>
                <w:b/>
                <w:color w:val="000000"/>
                <w:sz w:val="16"/>
                <w:szCs w:val="16"/>
              </w:rPr>
              <w:t>总计</w:t>
            </w:r>
          </w:p>
        </w:tc>
        <w:tc>
          <w:tcPr>
            <w:tcW w:w="54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62</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57,869.90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8498" w:type="dxa"/>
            <w:gridSpan w:val="6"/>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注：1.本表反映</w:t>
            </w:r>
            <w:r>
              <w:rPr>
                <w:rFonts w:hint="eastAsia" w:ascii="宋体" w:hAnsi="宋体" w:eastAsia="宋体"/>
                <w:color w:val="000000"/>
                <w:sz w:val="16"/>
                <w:szCs w:val="16"/>
                <w:lang w:eastAsia="zh-CN"/>
              </w:rPr>
              <w:t>单位</w:t>
            </w:r>
            <w:r>
              <w:rPr>
                <w:rFonts w:hint="eastAsia" w:ascii="宋体" w:hAnsi="宋体"/>
                <w:color w:val="000000"/>
                <w:sz w:val="16"/>
                <w:szCs w:val="16"/>
              </w:rPr>
              <w:t>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8498" w:type="dxa"/>
            <w:gridSpan w:val="6"/>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 xml:space="preserve">    2.本套报表金额单位转换时可能存在尾数误差。</w:t>
            </w:r>
          </w:p>
        </w:tc>
      </w:tr>
    </w:tbl>
    <w:p>
      <w:pPr>
        <w:tabs>
          <w:tab w:val="left" w:pos="6321"/>
        </w:tabs>
        <w:jc w:val="center"/>
        <w:rPr>
          <w:rFonts w:eastAsia="宋体"/>
        </w:rPr>
        <w:sectPr>
          <w:pgSz w:w="11906" w:h="16839"/>
          <w:pgMar w:top="1440" w:right="1800" w:bottom="1440" w:left="1800" w:header="0" w:footer="1043" w:gutter="0"/>
          <w:pgNumType w:fmt="decimal"/>
          <w:cols w:space="720" w:num="1"/>
        </w:sect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收入决算表</w:t>
      </w:r>
    </w:p>
    <w:p>
      <w:pPr>
        <w:rPr>
          <w:rFonts w:eastAsia="宋体"/>
        </w:rPr>
      </w:pPr>
    </w:p>
    <w:tbl>
      <w:tblPr>
        <w:tblStyle w:val="6"/>
        <w:tblW w:w="848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0"/>
        <w:gridCol w:w="290"/>
        <w:gridCol w:w="292"/>
        <w:gridCol w:w="2388"/>
        <w:gridCol w:w="1176"/>
        <w:gridCol w:w="750"/>
        <w:gridCol w:w="969"/>
        <w:gridCol w:w="1029"/>
        <w:gridCol w:w="240"/>
        <w:gridCol w:w="552"/>
        <w:gridCol w:w="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8482" w:type="dxa"/>
            <w:gridSpan w:val="11"/>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3260" w:type="dxa"/>
            <w:gridSpan w:val="4"/>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1176" w:type="dxa"/>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750" w:type="dxa"/>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8"/>
                <w:szCs w:val="18"/>
                <w:u w:val="none"/>
              </w:rPr>
            </w:pPr>
          </w:p>
        </w:tc>
        <w:tc>
          <w:tcPr>
            <w:tcW w:w="969" w:type="dxa"/>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8"/>
                <w:szCs w:val="18"/>
                <w:u w:val="none"/>
              </w:rPr>
            </w:pPr>
          </w:p>
        </w:tc>
        <w:tc>
          <w:tcPr>
            <w:tcW w:w="2327" w:type="dxa"/>
            <w:gridSpan w:val="4"/>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32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117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本年收入合计</w:t>
            </w:r>
          </w:p>
        </w:tc>
        <w:tc>
          <w:tcPr>
            <w:tcW w:w="7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财政拨款收入</w:t>
            </w:r>
          </w:p>
        </w:tc>
        <w:tc>
          <w:tcPr>
            <w:tcW w:w="96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上级补助收入</w:t>
            </w:r>
          </w:p>
        </w:tc>
        <w:tc>
          <w:tcPr>
            <w:tcW w:w="10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事业收入</w:t>
            </w:r>
          </w:p>
        </w:tc>
        <w:tc>
          <w:tcPr>
            <w:tcW w:w="2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经营收入</w:t>
            </w:r>
          </w:p>
        </w:tc>
        <w:tc>
          <w:tcPr>
            <w:tcW w:w="5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附属单位上缴收入</w:t>
            </w:r>
          </w:p>
        </w:tc>
        <w:tc>
          <w:tcPr>
            <w:tcW w:w="50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238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0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5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0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388"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0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5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0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7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388"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0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5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0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90"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29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292"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9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9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92"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olor w:val="000000"/>
                <w:sz w:val="16"/>
                <w:szCs w:val="16"/>
                <w:lang w:val="en-US" w:eastAsia="zh-CN"/>
              </w:rPr>
              <w:t>42,609.20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snapToGrid w:val="0"/>
                <w:color w:val="000000"/>
                <w:sz w:val="16"/>
                <w:szCs w:val="16"/>
                <w:u w:val="none"/>
                <w:lang w:val="en-US" w:eastAsia="zh-CN" w:bidi="ar-SA"/>
              </w:rPr>
              <w:t>26.38</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olor w:val="000000"/>
                <w:sz w:val="16"/>
                <w:szCs w:val="16"/>
                <w:lang w:val="en-US" w:eastAsia="zh-CN"/>
              </w:rPr>
              <w:t>42,582.82</w:t>
            </w: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olor w:val="000000"/>
                <w:sz w:val="16"/>
                <w:szCs w:val="16"/>
                <w:lang w:val="en-US" w:eastAsia="zh-CN"/>
              </w:rPr>
              <w:t>42,609.20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snapToGrid w:val="0"/>
                <w:color w:val="000000"/>
                <w:sz w:val="16"/>
                <w:szCs w:val="16"/>
                <w:u w:val="none"/>
                <w:lang w:val="en-US" w:eastAsia="zh-CN" w:bidi="ar-SA"/>
              </w:rPr>
              <w:t>26.38</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olor w:val="000000"/>
                <w:sz w:val="16"/>
                <w:szCs w:val="16"/>
                <w:lang w:val="en-US" w:eastAsia="zh-CN"/>
              </w:rPr>
              <w:t>42,582.82</w:t>
            </w: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olor w:val="000000"/>
                <w:sz w:val="16"/>
                <w:szCs w:val="16"/>
                <w:lang w:val="en-US" w:eastAsia="zh-CN"/>
              </w:rPr>
              <w:t>42,609.20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snapToGrid w:val="0"/>
                <w:color w:val="000000"/>
                <w:sz w:val="16"/>
                <w:szCs w:val="16"/>
                <w:u w:val="none"/>
                <w:lang w:val="en-US" w:eastAsia="zh-CN" w:bidi="ar-SA"/>
              </w:rPr>
              <w:t>26.38</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olor w:val="000000"/>
                <w:sz w:val="16"/>
                <w:szCs w:val="16"/>
                <w:lang w:val="en-US" w:eastAsia="zh-CN"/>
              </w:rPr>
              <w:t>42,582.82</w:t>
            </w: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olor w:val="000000"/>
                <w:sz w:val="16"/>
                <w:szCs w:val="16"/>
                <w:lang w:val="en-US" w:eastAsia="zh-CN"/>
              </w:rPr>
              <w:t>42,609.20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snapToGrid w:val="0"/>
                <w:color w:val="000000"/>
                <w:sz w:val="16"/>
                <w:szCs w:val="16"/>
                <w:u w:val="none"/>
                <w:lang w:val="en-US" w:eastAsia="zh-CN" w:bidi="ar-SA"/>
              </w:rPr>
              <w:t>26.38</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olor w:val="000000"/>
                <w:sz w:val="16"/>
                <w:szCs w:val="16"/>
                <w:lang w:val="en-US" w:eastAsia="zh-CN"/>
              </w:rPr>
              <w:t>42,582.82</w:t>
            </w: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公共卫生</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2100409</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重大公共卫生服务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2100499</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其他公共卫生支出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中医药</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2100601</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中医（民族医）药专项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2210203</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购房补贴</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0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482" w:type="dxa"/>
            <w:gridSpan w:val="11"/>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注：本表反映单位本年度取得的各项收入情况。</w:t>
            </w:r>
          </w:p>
        </w:tc>
      </w:tr>
    </w:tbl>
    <w:p>
      <w:pPr>
        <w:kinsoku/>
        <w:autoSpaceDE/>
        <w:autoSpaceDN/>
        <w:adjustRightInd/>
        <w:snapToGrid/>
        <w:textAlignment w:val="auto"/>
        <w:rPr>
          <w:rFonts w:eastAsia="宋体"/>
        </w:rPr>
      </w:pPr>
      <w:r>
        <w:rPr>
          <w:rFonts w:eastAsia="宋体"/>
        </w:rPr>
        <w:br w:type="page"/>
      </w:r>
    </w:p>
    <w:p>
      <w:pPr>
        <w:rPr>
          <w:rFonts w:eastAsia="宋体"/>
        </w:rPr>
      </w:pP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支出决算表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4"/>
        <w:gridCol w:w="30"/>
        <w:gridCol w:w="314"/>
        <w:gridCol w:w="4"/>
        <w:gridCol w:w="312"/>
        <w:gridCol w:w="2520"/>
        <w:gridCol w:w="1080"/>
        <w:gridCol w:w="1044"/>
        <w:gridCol w:w="1104"/>
        <w:gridCol w:w="610"/>
        <w:gridCol w:w="482"/>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6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20"/>
                <w:szCs w:val="20"/>
                <w:u w:val="none"/>
              </w:rPr>
            </w:pPr>
          </w:p>
        </w:tc>
        <w:tc>
          <w:tcPr>
            <w:tcW w:w="204" w:type="pct"/>
            <w:gridSpan w:val="3"/>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20"/>
                <w:szCs w:val="20"/>
                <w:u w:val="none"/>
              </w:rPr>
            </w:pPr>
          </w:p>
        </w:tc>
        <w:tc>
          <w:tcPr>
            <w:tcW w:w="18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20"/>
                <w:szCs w:val="20"/>
                <w:u w:val="none"/>
              </w:rPr>
            </w:pPr>
          </w:p>
        </w:tc>
        <w:tc>
          <w:tcPr>
            <w:tcW w:w="1478"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63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61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721" w:type="pct"/>
            <w:gridSpan w:val="4"/>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032" w:type="pct"/>
            <w:gridSpan w:val="6"/>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63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612"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647"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073" w:type="pct"/>
            <w:gridSpan w:val="3"/>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63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本年支出合计</w:t>
            </w:r>
          </w:p>
        </w:tc>
        <w:tc>
          <w:tcPr>
            <w:tcW w:w="61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64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c>
          <w:tcPr>
            <w:tcW w:w="35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上缴上级支出</w:t>
            </w:r>
          </w:p>
        </w:tc>
        <w:tc>
          <w:tcPr>
            <w:tcW w:w="28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经营支出</w:t>
            </w:r>
          </w:p>
        </w:tc>
        <w:tc>
          <w:tcPr>
            <w:tcW w:w="43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3"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478"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63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1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4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5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8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3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3"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78"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3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1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4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5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8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3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53"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78"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3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1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4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5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8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3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 w:type="pct"/>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18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185" w:type="pct"/>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47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 w:type="pct"/>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84"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85" w:type="pct"/>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7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38,814.95</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12,765.50</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26,049.45</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304.36</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304.36</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304.36</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304.36</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304.36</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304.36</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snapToGrid w:val="0"/>
                <w:color w:val="000000"/>
                <w:sz w:val="16"/>
                <w:szCs w:val="16"/>
                <w:u w:val="none"/>
                <w:lang w:val="en-US" w:eastAsia="zh-CN" w:bidi="ar-SA"/>
              </w:rPr>
              <w:t>37,986.21</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snapToGrid w:val="0"/>
                <w:color w:val="000000"/>
                <w:sz w:val="16"/>
                <w:szCs w:val="16"/>
                <w:u w:val="none"/>
                <w:lang w:val="en-US" w:eastAsia="zh-CN" w:bidi="ar-SA"/>
              </w:rPr>
              <w:t>11,936.76</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snapToGrid w:val="0"/>
                <w:color w:val="000000"/>
                <w:sz w:val="16"/>
                <w:szCs w:val="16"/>
                <w:u w:val="none"/>
                <w:lang w:val="en-US" w:eastAsia="zh-CN" w:bidi="ar-SA"/>
              </w:rPr>
              <w:t>26,049.45</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37,818.85</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11,769.40</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26,049.45</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37,818.85</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11,769.40</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26,049.45</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2100299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其他公立医院支出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公共卫生</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2100409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重大公共卫生服务</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2100499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其他公共卫生支出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中医药</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2100601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中医（民族医）药专项</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167.36</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167.36</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167.36</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167.36</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524.38</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524.38</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524.38</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524.38</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snapToGrid w:val="0"/>
                <w:color w:val="000000"/>
                <w:kern w:val="0"/>
                <w:sz w:val="16"/>
                <w:szCs w:val="16"/>
                <w:u w:val="none"/>
                <w:lang w:val="en-US" w:eastAsia="zh-CN" w:bidi="ar"/>
              </w:rPr>
              <w:t>2210201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snapToGrid w:val="0"/>
                <w:color w:val="000000"/>
                <w:kern w:val="0"/>
                <w:sz w:val="16"/>
                <w:szCs w:val="16"/>
                <w:u w:val="none"/>
                <w:lang w:val="en-US" w:eastAsia="zh-CN" w:bidi="ar"/>
              </w:rPr>
              <w:t xml:space="preserve">  住房公积金</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524.38</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524.38</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2290402</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其他地方自行试点项目收益专项债券收入安排的支出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5000" w:type="pct"/>
            <w:gridSpan w:val="12"/>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注：本表反映单位本年度各项支出情况。</w:t>
            </w:r>
          </w:p>
        </w:tc>
      </w:tr>
    </w:tbl>
    <w:p>
      <w:pPr>
        <w:jc w:val="both"/>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jc w:val="both"/>
        <w:rPr>
          <w:rFonts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财政拨款收入支出决算总表</w:t>
      </w:r>
    </w:p>
    <w:p>
      <w:pPr>
        <w:rPr>
          <w:rFonts w:eastAsia="宋体"/>
        </w:rPr>
      </w:pPr>
    </w:p>
    <w:tbl>
      <w:tblPr>
        <w:tblStyle w:val="6"/>
        <w:tblW w:w="506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0"/>
        <w:gridCol w:w="516"/>
        <w:gridCol w:w="972"/>
        <w:gridCol w:w="1668"/>
        <w:gridCol w:w="504"/>
        <w:gridCol w:w="984"/>
        <w:gridCol w:w="972"/>
        <w:gridCol w:w="984"/>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18"/>
                <w:szCs w:val="18"/>
                <w:u w:val="none"/>
              </w:rPr>
            </w:pPr>
          </w:p>
        </w:tc>
        <w:tc>
          <w:tcPr>
            <w:tcW w:w="298"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56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3362" w:type="pct"/>
            <w:gridSpan w:val="6"/>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03" w:type="pct"/>
            <w:gridSpan w:val="4"/>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861"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1535" w:type="pct"/>
            <w:gridSpan w:val="3"/>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收     入</w:t>
            </w:r>
          </w:p>
        </w:tc>
        <w:tc>
          <w:tcPr>
            <w:tcW w:w="3362"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298"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行次</w:t>
            </w:r>
          </w:p>
        </w:tc>
        <w:tc>
          <w:tcPr>
            <w:tcW w:w="562"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96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项目（按功能分类）</w:t>
            </w:r>
          </w:p>
        </w:tc>
        <w:tc>
          <w:tcPr>
            <w:tcW w:w="291"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行次</w:t>
            </w:r>
          </w:p>
        </w:tc>
        <w:tc>
          <w:tcPr>
            <w:tcW w:w="56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562"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一般公共预算财政拨款</w:t>
            </w:r>
          </w:p>
        </w:tc>
        <w:tc>
          <w:tcPr>
            <w:tcW w:w="569"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政府性基金预算财政拨款</w:t>
            </w:r>
          </w:p>
        </w:tc>
        <w:tc>
          <w:tcPr>
            <w:tcW w:w="402"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98"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2"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91"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9"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2"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9"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02"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    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    次</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一、一般公共服务支出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二、政府性基金预算财政拨款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二、外交支出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34</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三、国有资本经营预算财政拨款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三、国防支出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35</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四、公共安全支出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36</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五、教育支出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六、科学技术支出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七、文化旅游体育与传媒支出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八、社会保障和就业支出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40</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九、卫生健康支出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十、节能环保支出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十一、城乡社区支出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十二、农林水支出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44</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13</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十三、交通运输支出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45</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14</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十四、资源勘探工业信息等支出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46</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十五、商业服务业等支出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47</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十六、金融支出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48</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17</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十七、援助其他地区支出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49</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18</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十八、自然资源海洋气象等支出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50</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19</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十九、住房保障支出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二十、粮油物资储备支出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二十一、国有资本经营预算支出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二十二、灾害防治及应急管理支出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54</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23</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二十三、其他支出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55</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二十四、债务还本支出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56</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b/>
                <w:bCs/>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25</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二十五、债务付息支出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57</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26</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二十六、抗疫特别国债安排的支出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本年收入合计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27</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本年支出合计</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59</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年初财政拨款结转和结余</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28</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年末财政拨款结转和结余</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29</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二、政府性基金预算财政拨款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b/>
                <w:bCs/>
                <w:i w:val="0"/>
                <w:iCs w:val="0"/>
                <w:color w:val="000000"/>
                <w:sz w:val="16"/>
                <w:szCs w:val="16"/>
                <w:u w:val="none"/>
              </w:rPr>
            </w:pP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三、国有资本经营预算财政拨款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b/>
                <w:bCs/>
                <w:i w:val="0"/>
                <w:iCs w:val="0"/>
                <w:color w:val="000000"/>
                <w:sz w:val="16"/>
                <w:szCs w:val="16"/>
                <w:u w:val="none"/>
              </w:rPr>
            </w:pP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总计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总计</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64</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default"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9"/>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注：本表反映单位本年度一般公共预算财政拨款、政府性基金预算财政拨款和国有资本经营预算财政拨款的总收支和年末结转结余情况。</w:t>
            </w:r>
          </w:p>
        </w:tc>
      </w:tr>
    </w:tbl>
    <w:p>
      <w:pPr>
        <w:rPr>
          <w:rFonts w:eastAsia="宋体"/>
        </w:rPr>
        <w:sectPr>
          <w:pgSz w:w="11906" w:h="16839"/>
          <w:pgMar w:top="1440" w:right="1800" w:bottom="1440" w:left="1800" w:header="0" w:footer="1043" w:gutter="0"/>
          <w:pgNumType w:fmt="decimal"/>
          <w:cols w:space="720" w:num="1"/>
        </w:sectPr>
      </w:pPr>
    </w:p>
    <w:p/>
    <w:p/>
    <w:p>
      <w:pPr>
        <w:jc w:val="center"/>
        <w:rPr>
          <w:rFonts w:eastAsia="宋体"/>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一般公共预算财政拨款支出决算表</w:t>
      </w:r>
    </w:p>
    <w:p/>
    <w:tbl>
      <w:tblPr>
        <w:tblStyle w:val="6"/>
        <w:tblW w:w="50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2"/>
        <w:gridCol w:w="432"/>
        <w:gridCol w:w="438"/>
        <w:gridCol w:w="3062"/>
        <w:gridCol w:w="1410"/>
        <w:gridCol w:w="705"/>
        <w:gridCol w:w="705"/>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251" w:type="pct"/>
            <w:tcBorders>
              <w:top w:val="nil"/>
              <w:left w:val="nil"/>
              <w:bottom w:val="nil"/>
              <w:right w:val="nil"/>
            </w:tcBorders>
            <w:shd w:val="clear" w:color="auto" w:fill="auto"/>
            <w:noWrap/>
            <w:vAlign w:val="bottom"/>
          </w:tcPr>
          <w:p>
            <w:pPr>
              <w:spacing w:line="240" w:lineRule="auto"/>
              <w:rPr>
                <w:rFonts w:hint="eastAsia" w:ascii="Arial" w:hAnsi="Arial" w:cs="Arial"/>
                <w:i w:val="0"/>
                <w:iCs w:val="0"/>
                <w:color w:val="000000"/>
                <w:sz w:val="20"/>
                <w:szCs w:val="20"/>
                <w:u w:val="none"/>
              </w:rPr>
            </w:pPr>
          </w:p>
        </w:tc>
        <w:tc>
          <w:tcPr>
            <w:tcW w:w="251"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254"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780"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18"/>
                <w:szCs w:val="18"/>
                <w:u w:val="none"/>
              </w:rPr>
            </w:pPr>
          </w:p>
        </w:tc>
        <w:tc>
          <w:tcPr>
            <w:tcW w:w="820"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18"/>
                <w:szCs w:val="18"/>
                <w:u w:val="none"/>
              </w:rPr>
            </w:pPr>
          </w:p>
        </w:tc>
        <w:tc>
          <w:tcPr>
            <w:tcW w:w="820" w:type="pct"/>
            <w:gridSpan w:val="2"/>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18"/>
                <w:szCs w:val="18"/>
                <w:u w:val="none"/>
              </w:rPr>
            </w:pPr>
          </w:p>
        </w:tc>
        <w:tc>
          <w:tcPr>
            <w:tcW w:w="820" w:type="pct"/>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38" w:type="pct"/>
            <w:gridSpan w:val="4"/>
            <w:tcBorders>
              <w:top w:val="nil"/>
              <w:left w:val="nil"/>
              <w:bottom w:val="nil"/>
              <w:right w:val="nil"/>
            </w:tcBorders>
            <w:shd w:val="clear" w:color="auto" w:fill="auto"/>
            <w:noWrap/>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1230" w:type="pct"/>
            <w:gridSpan w:val="2"/>
            <w:tcBorders>
              <w:top w:val="nil"/>
              <w:left w:val="nil"/>
              <w:bottom w:val="nil"/>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1231" w:type="pct"/>
            <w:gridSpan w:val="2"/>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820" w:type="pct"/>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本年支出合计</w:t>
            </w:r>
          </w:p>
        </w:tc>
        <w:tc>
          <w:tcPr>
            <w:tcW w:w="820" w:type="pct"/>
            <w:gridSpan w:val="2"/>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820" w:type="pct"/>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78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gridSpan w:val="2"/>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1780" w:type="pct"/>
            <w:vMerge w:val="continue"/>
            <w:tcBorders>
              <w:top w:val="nil"/>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gridSpan w:val="2"/>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1780" w:type="pct"/>
            <w:vMerge w:val="continue"/>
            <w:tcBorders>
              <w:top w:val="nil"/>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gridSpan w:val="2"/>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1"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251"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25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1" w:type="pct"/>
            <w:vMerge w:val="continue"/>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251" w:type="pct"/>
            <w:vMerge w:val="continue"/>
            <w:tcBorders>
              <w:top w:val="nil"/>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254" w:type="pct"/>
            <w:vMerge w:val="continue"/>
            <w:tcBorders>
              <w:top w:val="nil"/>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科学技术支出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20604</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技术研究与开发</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2060499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其他技术研究与开发支出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20605</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科技条件与服务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2060599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其他科技条件与服务支出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178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卫生健康管理事务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其他卫生健康管理事务支出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其他公立医院支出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公共卫生</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2100409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重大公共卫生服务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其他公共卫生支出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中医药</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2100601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中医（民族医）药专项</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2210203</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购房补贴</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注：本表反映单位本年度一般公共预算财政拨款支出情况。</w:t>
            </w:r>
          </w:p>
        </w:tc>
      </w:tr>
    </w:tbl>
    <w:p>
      <w:pPr>
        <w:rPr>
          <w:rFonts w:eastAsia="宋体"/>
        </w:rPr>
        <w:sectPr>
          <w:footerReference r:id="rId5" w:type="default"/>
          <w:pgSz w:w="11906" w:h="16839"/>
          <w:pgMar w:top="1440" w:right="1800" w:bottom="1440" w:left="1800" w:header="0" w:footer="1043" w:gutter="0"/>
          <w:pgNumType w:fmt="decimal"/>
          <w:cols w:space="720" w:num="1"/>
        </w:sectPr>
      </w:pPr>
    </w:p>
    <w:p>
      <w:pPr>
        <w:spacing w:line="360" w:lineRule="auto"/>
        <w:jc w:val="center"/>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一般公共预算财政拨款基本支出决算表</w:t>
      </w:r>
    </w:p>
    <w:tbl>
      <w:tblPr>
        <w:tblStyle w:val="6"/>
        <w:tblW w:w="498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491"/>
        <w:gridCol w:w="891"/>
        <w:gridCol w:w="703"/>
        <w:gridCol w:w="1508"/>
        <w:gridCol w:w="618"/>
        <w:gridCol w:w="717"/>
        <w:gridCol w:w="1245"/>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435"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eastAsia" w:ascii="Arial" w:hAnsi="Arial" w:cs="Arial"/>
                <w:i w:val="0"/>
                <w:iCs w:val="0"/>
                <w:color w:val="000000"/>
                <w:sz w:val="18"/>
                <w:szCs w:val="18"/>
                <w:u w:val="none"/>
              </w:rPr>
            </w:pPr>
          </w:p>
        </w:tc>
        <w:tc>
          <w:tcPr>
            <w:tcW w:w="877"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524"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41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887"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36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421"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1076" w:type="pct"/>
            <w:gridSpan w:val="2"/>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250" w:type="pct"/>
            <w:gridSpan w:val="4"/>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1251"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1498" w:type="pct"/>
            <w:gridSpan w:val="3"/>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人员经费</w:t>
            </w:r>
          </w:p>
        </w:tc>
        <w:tc>
          <w:tcPr>
            <w:tcW w:w="316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工资福利支出</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商品和服务支出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307</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债务利息及费用支出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基本工资</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办公费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30701</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国内债务付息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30102</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津贴补贴</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印刷费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30702</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国外债务付息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奖金</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30203</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咨询费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30703</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国内债务发行费用</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30106</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伙食补助费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手续费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30704</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国外债务发行费用</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30107</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绩效工资</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水费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310</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资本性支出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30108</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30206</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电费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31001</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房屋建筑物购建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30109</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职业年金缴费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30207</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邮电费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31002</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办公设备购置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30110</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职工基本医疗保险缴费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取暖费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31003</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专用设备购置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公务员医疗补助缴款</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30209</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物业管理费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31005</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基础设施建设</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30112</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其他社会保障缴费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差旅费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31006</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大型修缮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住房公积金</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因公出国（境）费用</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31007</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信息网络及软件购置更新</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30114</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医疗费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30213</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维修（护）费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31008</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物资储备</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30199</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其他工资福利支出</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租赁费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31009</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土地补偿</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对个人和家庭的补助</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会议费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31010</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安置补助</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离休费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30216</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培训费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310111</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地上附着物和青苗补偿</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30302</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退休费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30217</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公务接待费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31012</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拆迁补偿</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退职（役）费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专用材料费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31013</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公务用车购置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30304</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抚恤金</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被装购置费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31019</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其他交通工具购置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30305</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生活补贴</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专用燃料费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31021</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文物和陈列品购置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30306</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救济费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30226</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劳务费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31022</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无形资产购置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30307</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医疗费补助</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30227</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委托业务费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31099</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其他资本性支出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30308</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助学金</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30228</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工会经费</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312</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对企业补助</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30309</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奖励金</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30229</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福利费</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31201</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资本金注入</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30310</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个人农业生产补贴</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30231</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公务用车运行维护费</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31203</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政府投资基金股权投资</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30311</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代缴社会保险费</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30239</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其他交通费用</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31204</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费用补贴</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30399</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其他对个人和家庭的补助支出</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30240</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税金及附加费用</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31205</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利息补贴</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30299</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其他商品和服务支出</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31299</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其他对企业补助</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399</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其他支出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39906</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赠与</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39907</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国家赔偿费用支出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39908</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对民间非营利组织和群众性自治组织补贴</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39999</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312"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人员经费合计</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both"/>
              <w:textAlignment w:val="center"/>
              <w:rPr>
                <w:rFonts w:hint="eastAsia" w:ascii="宋体" w:hAnsi="宋体" w:eastAsia="宋体" w:cs="宋体"/>
                <w:i w:val="0"/>
                <w:iCs w:val="0"/>
                <w:color w:val="000000"/>
                <w:sz w:val="16"/>
                <w:szCs w:val="16"/>
                <w:u w:val="none"/>
              </w:rPr>
            </w:pPr>
          </w:p>
        </w:tc>
        <w:tc>
          <w:tcPr>
            <w:tcW w:w="2819" w:type="pct"/>
            <w:gridSpan w:val="5"/>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公用支出合计</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000" w:type="pct"/>
            <w:gridSpan w:val="9"/>
            <w:tcBorders>
              <w:top w:val="nil"/>
              <w:left w:val="nil"/>
              <w:bottom w:val="nil"/>
              <w:right w:val="nil"/>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注：本表反映单位本年度一般公共预算财政拨款基本支出明细情况。</w:t>
            </w:r>
          </w:p>
        </w:tc>
      </w:tr>
    </w:tbl>
    <w:p>
      <w:pPr>
        <w:jc w:val="both"/>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rPr>
          <w:rFonts w:eastAsia="宋体"/>
        </w:rPr>
      </w:pPr>
    </w:p>
    <w:p>
      <w:pPr>
        <w:jc w:val="center"/>
        <w:rPr>
          <w:rFonts w:eastAsia="宋体"/>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一般公共预算财政拨款“三公”经费支出决算表</w:t>
      </w:r>
      <w:r>
        <w:rPr>
          <w:rFonts w:hint="eastAsia" w:eastAsia="宋体"/>
        </w:rPr>
        <w:br w:type="textWrapping"/>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99"/>
        <w:gridCol w:w="1118"/>
        <w:gridCol w:w="1418"/>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240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18"/>
                <w:szCs w:val="18"/>
                <w:u w:val="none"/>
              </w:rPr>
            </w:pPr>
          </w:p>
        </w:tc>
        <w:tc>
          <w:tcPr>
            <w:tcW w:w="65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83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103"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240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65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83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103"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项目</w:t>
            </w:r>
          </w:p>
        </w:tc>
        <w:tc>
          <w:tcPr>
            <w:tcW w:w="65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栏次</w:t>
            </w:r>
          </w:p>
        </w:tc>
        <w:tc>
          <w:tcPr>
            <w:tcW w:w="832"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年初预算数</w:t>
            </w:r>
          </w:p>
        </w:tc>
        <w:tc>
          <w:tcPr>
            <w:tcW w:w="1103"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行次</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8"/>
                <w:szCs w:val="18"/>
                <w:u w:val="none"/>
              </w:rPr>
            </w:pP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一、“三公”经费支出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1.因公出国（境）费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2.公务用车购置及运行维护费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（1）公务用车购置费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（2）公务用车运行维护费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3.公务接待费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（1）国内接待费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其中：外事接待费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（2）国（境）外接待费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二、相关统计数</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1.因公出国（境）团组数（个）</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2.因公出国（境）人次数（人）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12</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3.公务用车购置数（辆）</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13</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4.公务用车保有量（辆）</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14</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5.国内公务接待批次（个）</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15</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其中：外事接待批次（个）</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16</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6.国内公务接待人次（人）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17</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其中：外事接待人次（人）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18</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7.国（境）外公务接待批次（个）</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19</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8.国（境）外公务接待人次（人）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5000" w:type="pct"/>
            <w:gridSpan w:val="4"/>
            <w:vMerge w:val="restart"/>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000" w:type="pct"/>
            <w:gridSpan w:val="4"/>
            <w:vMerge w:val="continue"/>
            <w:tcBorders>
              <w:top w:val="nil"/>
              <w:left w:val="nil"/>
              <w:bottom w:val="nil"/>
              <w:right w:val="nil"/>
            </w:tcBorders>
            <w:shd w:val="clear" w:color="auto" w:fill="auto"/>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r>
    </w:tbl>
    <w:p>
      <w:pPr>
        <w:rPr>
          <w:rFonts w:hint="eastAsia" w:eastAsia="宋体"/>
          <w:lang w:eastAsia="zh-CN"/>
        </w:rPr>
      </w:pPr>
    </w:p>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政府性基金预算财政拨款收入支出决算表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2"/>
        <w:gridCol w:w="6"/>
        <w:gridCol w:w="294"/>
        <w:gridCol w:w="44"/>
        <w:gridCol w:w="340"/>
        <w:gridCol w:w="2208"/>
        <w:gridCol w:w="960"/>
        <w:gridCol w:w="960"/>
        <w:gridCol w:w="960"/>
        <w:gridCol w:w="600"/>
        <w:gridCol w:w="960"/>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94"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176"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66"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891" w:type="pct"/>
            <w:gridSpan w:val="6"/>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26"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66"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89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56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年初结转和结余</w:t>
            </w:r>
          </w:p>
        </w:tc>
        <w:tc>
          <w:tcPr>
            <w:tcW w:w="563" w:type="pct"/>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w:t>
            </w:r>
          </w:p>
        </w:tc>
        <w:tc>
          <w:tcPr>
            <w:tcW w:w="1478" w:type="pct"/>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w:t>
            </w:r>
          </w:p>
        </w:tc>
        <w:tc>
          <w:tcPr>
            <w:tcW w:w="50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29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小计</w:t>
            </w:r>
          </w:p>
        </w:tc>
        <w:tc>
          <w:tcPr>
            <w:tcW w:w="35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56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5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9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5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8" w:type="pct"/>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198" w:type="pct"/>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19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8" w:type="pct"/>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 w:type="pct"/>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2290402</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其他地方自行试点项目收益专项债券收入安排的支出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说明：当此表数据为零时，即本单位无政府性基金预算财政拨款收入、支出。</w:t>
            </w:r>
          </w:p>
        </w:tc>
      </w:tr>
    </w:tbl>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国有资本经营预算财政拨款支出决算表</w:t>
      </w:r>
    </w:p>
    <w:p>
      <w:pPr>
        <w:rPr>
          <w:rFonts w:eastAsia="宋体"/>
        </w:rPr>
      </w:pP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9"/>
        <w:gridCol w:w="1410"/>
        <w:gridCol w:w="1285"/>
        <w:gridCol w:w="930"/>
        <w:gridCol w:w="1147"/>
        <w:gridCol w:w="574"/>
        <w:gridCol w:w="571"/>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82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4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2"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54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10"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1011"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97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67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672"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67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54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82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75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6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6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5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6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2"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6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2"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说明：当此表数据为空时，即本单位无国有资本经营预算财政拨款支出。</w:t>
            </w:r>
          </w:p>
        </w:tc>
      </w:tr>
    </w:tbl>
    <w:p>
      <w:pPr>
        <w:rPr>
          <w:rFonts w:eastAsia="宋体"/>
        </w:rPr>
      </w:pPr>
    </w:p>
    <w:p>
      <w:pPr>
        <w:rPr>
          <w:rFonts w:eastAsia="宋体"/>
        </w:rPr>
      </w:pPr>
    </w:p>
    <w:p>
      <w:pPr>
        <w:rPr>
          <w:rFonts w:eastAsia="宋体"/>
        </w:r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国有资产占用情况表</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17"/>
        <w:gridCol w:w="1031"/>
        <w:gridCol w:w="1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60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3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605"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103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60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103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一、车辆数合计（台、辆）</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1.副部（省）级及以上领导用车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2.主要领导干部用车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3.机要通信用车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4.应急保障用车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5.执法执勤用车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6.特种专业技术用车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7.离退休干部用车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8.其他用车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二、单价50万元（含）以上通用设备（台，套）</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三、单价100万元（含）以上专用设备（台，套）</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注：本表反映截至2022年12月31日，单位占用的国有资产情况。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说明：当此表数据为空时，即本单位无相关资产。</w:t>
            </w:r>
          </w:p>
        </w:tc>
      </w:tr>
    </w:tbl>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numPr>
          <w:ilvl w:val="0"/>
          <w:numId w:val="1"/>
        </w:numPr>
        <w:spacing w:line="360" w:lineRule="auto"/>
        <w:jc w:val="center"/>
        <w:rPr>
          <w:rFonts w:ascii="宋体" w:hAnsi="宋体" w:eastAsia="宋体" w:cs="宋体"/>
          <w:spacing w:val="3"/>
          <w:sz w:val="36"/>
          <w:szCs w:val="36"/>
          <w14:textOutline w14:w="5791" w14:cap="sq" w14:cmpd="sng" w14:algn="ctr">
            <w14:solidFill>
              <w14:srgbClr w14:val="000000"/>
            </w14:solidFill>
            <w14:prstDash w14:val="solid"/>
            <w14:bevel/>
          </w14:textOutline>
        </w:rPr>
      </w:pPr>
      <w:r>
        <w:rPr>
          <w:rFonts w:ascii="宋体" w:hAnsi="宋体" w:eastAsia="宋体" w:cs="宋体"/>
          <w:spacing w:val="5"/>
          <w:sz w:val="36"/>
          <w:szCs w:val="36"/>
        </w:rPr>
        <w:t xml:space="preserve"> </w:t>
      </w:r>
      <w:r>
        <w:rPr>
          <w:rFonts w:hint="eastAsia" w:ascii="宋体" w:hAnsi="宋体" w:eastAsia="宋体" w:cs="宋体"/>
          <w:spacing w:val="5"/>
          <w:sz w:val="36"/>
          <w:szCs w:val="36"/>
          <w:lang w:eastAsia="zh-CN"/>
          <w14:textOutline w14:w="5791" w14:cap="sq" w14:cmpd="sng" w14:algn="ctr">
            <w14:solidFill>
              <w14:srgbClr w14:val="000000"/>
            </w14:solidFill>
            <w14:prstDash w14:val="solid"/>
            <w14:bevel/>
          </w14:textOutline>
        </w:rPr>
        <w:t>2022年</w:t>
      </w:r>
      <w:r>
        <w:rPr>
          <w:rFonts w:ascii="宋体" w:hAnsi="宋体" w:eastAsia="宋体" w:cs="宋体"/>
          <w:spacing w:val="5"/>
          <w:sz w:val="36"/>
          <w:szCs w:val="36"/>
          <w14:textOutline w14:w="5791" w14:cap="sq" w14:cmpd="sng" w14:algn="ctr">
            <w14:solidFill>
              <w14:srgbClr w14:val="000000"/>
            </w14:solidFill>
            <w14:prstDash w14:val="solid"/>
            <w14:bevel/>
          </w14:textOutline>
        </w:rPr>
        <w:t>度</w:t>
      </w:r>
      <w:r>
        <w:rPr>
          <w:rFonts w:hint="eastAsia" w:ascii="宋体" w:hAnsi="宋体" w:eastAsia="宋体" w:cs="宋体"/>
          <w:spacing w:val="5"/>
          <w:sz w:val="36"/>
          <w:szCs w:val="36"/>
          <w:lang w:eastAsia="zh-CN"/>
          <w14:textOutline w14:w="5791" w14:cap="sq" w14:cmpd="sng" w14:algn="ctr">
            <w14:solidFill>
              <w14:srgbClr w14:val="000000"/>
            </w14:solidFill>
            <w14:prstDash w14:val="solid"/>
            <w14:bevel/>
          </w14:textOutline>
        </w:rPr>
        <w:t>单位</w:t>
      </w:r>
      <w:r>
        <w:rPr>
          <w:rFonts w:ascii="宋体" w:hAnsi="宋体" w:eastAsia="宋体" w:cs="宋体"/>
          <w:spacing w:val="5"/>
          <w:sz w:val="36"/>
          <w:szCs w:val="36"/>
          <w14:textOutline w14:w="5791" w14:cap="sq" w14:cmpd="sng" w14:algn="ctr">
            <w14:solidFill>
              <w14:srgbClr w14:val="000000"/>
            </w14:solidFill>
            <w14:prstDash w14:val="solid"/>
            <w14:bevel/>
          </w14:textOutline>
        </w:rPr>
        <w:t>决算情况说</w:t>
      </w:r>
      <w:r>
        <w:rPr>
          <w:rFonts w:ascii="宋体" w:hAnsi="宋体" w:eastAsia="宋体" w:cs="宋体"/>
          <w:spacing w:val="3"/>
          <w:sz w:val="36"/>
          <w:szCs w:val="36"/>
          <w14:textOutline w14:w="5791" w14:cap="sq" w14:cmpd="sng" w14:algn="ctr">
            <w14:solidFill>
              <w14:srgbClr w14:val="000000"/>
            </w14:solidFill>
            <w14:prstDash w14:val="solid"/>
            <w14:bevel/>
          </w14:textOutline>
        </w:rPr>
        <w:t>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4" w:firstLineChars="200"/>
        <w:jc w:val="both"/>
        <w:textAlignment w:val="baseline"/>
        <w:rPr>
          <w:rFonts w:ascii="黑体" w:hAnsi="黑体" w:eastAsia="黑体" w:cs="黑体"/>
          <w:sz w:val="29"/>
          <w:szCs w:val="29"/>
        </w:rPr>
      </w:pPr>
      <w:r>
        <w:rPr>
          <w:rFonts w:ascii="黑体" w:hAnsi="黑体" w:eastAsia="黑体" w:cs="黑体"/>
          <w:spacing w:val="11"/>
          <w:position w:val="4"/>
          <w:sz w:val="29"/>
          <w:szCs w:val="29"/>
        </w:rPr>
        <w:t>一</w:t>
      </w:r>
      <w:r>
        <w:rPr>
          <w:rFonts w:ascii="黑体" w:hAnsi="黑体" w:eastAsia="黑体" w:cs="黑体"/>
          <w:spacing w:val="8"/>
          <w:position w:val="4"/>
          <w:sz w:val="29"/>
          <w:szCs w:val="29"/>
        </w:rPr>
        <w:t>、收入决算情况说明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ascii="仿宋" w:hAnsi="仿宋" w:eastAsia="仿宋" w:cs="仿宋"/>
          <w:spacing w:val="8"/>
          <w:sz w:val="29"/>
          <w:szCs w:val="29"/>
        </w:rPr>
      </w:pPr>
      <w:r>
        <w:rPr>
          <w:rFonts w:ascii="仿宋" w:hAnsi="仿宋" w:eastAsia="仿宋" w:cs="仿宋"/>
          <w:spacing w:val="-5"/>
          <w:sz w:val="29"/>
          <w:szCs w:val="29"/>
        </w:rPr>
        <w:t>本</w:t>
      </w:r>
      <w:r>
        <w:rPr>
          <w:rFonts w:ascii="仿宋" w:hAnsi="仿宋" w:eastAsia="仿宋" w:cs="仿宋"/>
          <w:spacing w:val="6"/>
          <w:sz w:val="29"/>
          <w:szCs w:val="29"/>
        </w:rPr>
        <w:t>单位</w:t>
      </w:r>
      <w:r>
        <w:rPr>
          <w:rFonts w:hint="eastAsia" w:ascii="仿宋" w:hAnsi="仿宋" w:eastAsia="仿宋" w:cs="仿宋"/>
          <w:spacing w:val="6"/>
          <w:sz w:val="29"/>
          <w:szCs w:val="29"/>
          <w:lang w:eastAsia="zh-CN"/>
        </w:rPr>
        <w:t>2022年</w:t>
      </w:r>
      <w:r>
        <w:rPr>
          <w:rFonts w:ascii="仿宋" w:hAnsi="仿宋" w:eastAsia="仿宋" w:cs="仿宋"/>
          <w:spacing w:val="6"/>
          <w:sz w:val="29"/>
          <w:szCs w:val="29"/>
        </w:rPr>
        <w:t>度收入</w:t>
      </w:r>
      <w:r>
        <w:rPr>
          <w:rFonts w:hint="eastAsia" w:ascii="仿宋" w:hAnsi="仿宋" w:eastAsia="仿宋" w:cs="仿宋"/>
          <w:spacing w:val="6"/>
          <w:sz w:val="29"/>
          <w:szCs w:val="29"/>
          <w:lang w:val="en-US" w:eastAsia="zh-CN"/>
        </w:rPr>
        <w:t>57,869.9</w:t>
      </w:r>
      <w:r>
        <w:rPr>
          <w:rFonts w:ascii="仿宋" w:hAnsi="仿宋" w:eastAsia="仿宋" w:cs="仿宋"/>
          <w:spacing w:val="6"/>
          <w:sz w:val="29"/>
          <w:szCs w:val="29"/>
        </w:rPr>
        <w:t>万元，其中年初结转和结余</w:t>
      </w:r>
      <w:r>
        <w:rPr>
          <w:rFonts w:hint="eastAsia" w:ascii="仿宋" w:hAnsi="仿宋" w:eastAsia="仿宋" w:cs="仿宋"/>
          <w:spacing w:val="6"/>
          <w:sz w:val="29"/>
          <w:szCs w:val="29"/>
          <w:lang w:val="en-US" w:eastAsia="zh-CN"/>
        </w:rPr>
        <w:t>15,260.7</w:t>
      </w:r>
      <w:r>
        <w:rPr>
          <w:rFonts w:ascii="仿宋" w:hAnsi="仿宋" w:eastAsia="仿宋" w:cs="仿宋"/>
          <w:spacing w:val="6"/>
          <w:sz w:val="29"/>
          <w:szCs w:val="29"/>
        </w:rPr>
        <w:t>万元；本年收入合计</w:t>
      </w:r>
      <w:r>
        <w:rPr>
          <w:rFonts w:hint="eastAsia" w:ascii="仿宋" w:hAnsi="仿宋" w:eastAsia="仿宋" w:cs="仿宋"/>
          <w:spacing w:val="6"/>
          <w:sz w:val="29"/>
          <w:szCs w:val="29"/>
          <w:lang w:val="en-US" w:eastAsia="zh-CN"/>
        </w:rPr>
        <w:t>42,609.2</w:t>
      </w:r>
      <w:r>
        <w:rPr>
          <w:rFonts w:hint="eastAsia" w:ascii="仿宋" w:hAnsi="仿宋" w:eastAsia="仿宋" w:cs="仿宋"/>
          <w:spacing w:val="6"/>
          <w:sz w:val="29"/>
          <w:szCs w:val="29"/>
        </w:rPr>
        <w:t>万</w:t>
      </w:r>
      <w:r>
        <w:rPr>
          <w:rFonts w:ascii="仿宋" w:hAnsi="仿宋" w:eastAsia="仿宋" w:cs="仿宋"/>
          <w:spacing w:val="6"/>
          <w:sz w:val="29"/>
          <w:szCs w:val="29"/>
        </w:rPr>
        <w:t>元，</w:t>
      </w:r>
      <w:r>
        <w:rPr>
          <w:rFonts w:hint="eastAsia" w:ascii="仿宋" w:hAnsi="仿宋" w:eastAsia="仿宋" w:cs="仿宋"/>
          <w:spacing w:val="6"/>
          <w:sz w:val="29"/>
          <w:szCs w:val="29"/>
          <w:lang w:val="en-US" w:eastAsia="zh-CN"/>
        </w:rPr>
        <w:t xml:space="preserve">较2021年增加2,646.67万元，增长6.62%;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4" w:firstLineChars="200"/>
        <w:jc w:val="both"/>
        <w:textAlignment w:val="baseline"/>
        <w:rPr>
          <w:rFonts w:ascii="仿宋" w:hAnsi="仿宋" w:eastAsia="仿宋" w:cs="仿宋"/>
          <w:sz w:val="29"/>
          <w:szCs w:val="29"/>
        </w:rPr>
      </w:pPr>
      <w:r>
        <w:rPr>
          <w:rFonts w:ascii="仿宋" w:hAnsi="仿宋" w:eastAsia="仿宋" w:cs="仿宋"/>
          <w:spacing w:val="6"/>
          <w:sz w:val="29"/>
          <w:szCs w:val="29"/>
        </w:rPr>
        <w:t>本年收入的具</w:t>
      </w:r>
      <w:r>
        <w:rPr>
          <w:rFonts w:ascii="仿宋" w:hAnsi="仿宋" w:eastAsia="仿宋" w:cs="仿宋"/>
          <w:spacing w:val="4"/>
          <w:sz w:val="29"/>
          <w:szCs w:val="29"/>
        </w:rPr>
        <w:t>体</w:t>
      </w:r>
      <w:r>
        <w:rPr>
          <w:rFonts w:ascii="仿宋" w:hAnsi="仿宋" w:eastAsia="仿宋" w:cs="仿宋"/>
          <w:spacing w:val="3"/>
          <w:sz w:val="29"/>
          <w:szCs w:val="29"/>
        </w:rPr>
        <w:t>构成为：</w:t>
      </w:r>
      <w:r>
        <w:rPr>
          <w:rFonts w:ascii="仿宋" w:hAnsi="仿宋" w:eastAsia="仿宋" w:cs="仿宋"/>
          <w:spacing w:val="-6"/>
          <w:sz w:val="29"/>
          <w:szCs w:val="29"/>
        </w:rPr>
        <w:t>事业收入</w:t>
      </w:r>
      <w:r>
        <w:rPr>
          <w:rFonts w:hint="eastAsia" w:ascii="仿宋" w:hAnsi="仿宋" w:eastAsia="仿宋" w:cs="仿宋"/>
          <w:spacing w:val="-6"/>
          <w:sz w:val="29"/>
          <w:szCs w:val="29"/>
          <w:lang w:val="en-US" w:eastAsia="zh-CN"/>
        </w:rPr>
        <w:t>42,582.82万</w:t>
      </w:r>
      <w:r>
        <w:rPr>
          <w:rFonts w:ascii="仿宋" w:hAnsi="仿宋" w:eastAsia="仿宋" w:cs="仿宋"/>
          <w:spacing w:val="-6"/>
          <w:sz w:val="29"/>
          <w:szCs w:val="29"/>
        </w:rPr>
        <w:t>元，占</w:t>
      </w:r>
      <w:r>
        <w:rPr>
          <w:rFonts w:hint="eastAsia" w:ascii="仿宋" w:hAnsi="仿宋" w:eastAsia="仿宋" w:cs="仿宋"/>
          <w:spacing w:val="-6"/>
          <w:sz w:val="29"/>
          <w:szCs w:val="29"/>
          <w:lang w:val="en-US" w:eastAsia="zh-CN"/>
        </w:rPr>
        <w:t>99.94</w:t>
      </w:r>
      <w:r>
        <w:rPr>
          <w:rFonts w:ascii="仿宋" w:hAnsi="仿宋" w:eastAsia="仿宋" w:cs="仿宋"/>
          <w:spacing w:val="-6"/>
          <w:sz w:val="29"/>
          <w:szCs w:val="29"/>
        </w:rPr>
        <w:t>%</w:t>
      </w:r>
      <w:r>
        <w:rPr>
          <w:rFonts w:hint="eastAsia" w:ascii="仿宋" w:hAnsi="仿宋" w:eastAsia="仿宋" w:cs="仿宋"/>
          <w:spacing w:val="-6"/>
          <w:sz w:val="29"/>
          <w:szCs w:val="29"/>
          <w:lang w:val="en-US" w:eastAsia="zh-CN"/>
        </w:rPr>
        <w:t>；上级补助收入26.38万元，占0.06%</w:t>
      </w:r>
      <w:r>
        <w:rPr>
          <w:rFonts w:hint="eastAsia" w:ascii="仿宋" w:hAnsi="仿宋" w:eastAsia="仿宋" w:cs="仿宋"/>
          <w:spacing w:val="-6"/>
          <w:sz w:val="29"/>
          <w:szCs w:val="29"/>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pacing w:val="8"/>
          <w:position w:val="2"/>
          <w:sz w:val="29"/>
          <w:szCs w:val="29"/>
        </w:rPr>
      </w:pPr>
      <w:r>
        <w:rPr>
          <w:rFonts w:hint="eastAsia" w:ascii="黑体" w:hAnsi="黑体" w:eastAsia="黑体" w:cs="黑体"/>
          <w:spacing w:val="8"/>
          <w:position w:val="2"/>
          <w:sz w:val="29"/>
          <w:szCs w:val="29"/>
        </w:rPr>
        <w:t>二、</w:t>
      </w:r>
      <w:r>
        <w:rPr>
          <w:rFonts w:ascii="黑体" w:hAnsi="黑体" w:eastAsia="黑体" w:cs="黑体"/>
          <w:spacing w:val="8"/>
          <w:position w:val="2"/>
          <w:sz w:val="29"/>
          <w:szCs w:val="29"/>
        </w:rPr>
        <w:t>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default" w:ascii="仿宋" w:hAnsi="仿宋" w:eastAsia="仿宋" w:cs="仿宋"/>
          <w:spacing w:val="-1"/>
          <w:sz w:val="29"/>
          <w:szCs w:val="29"/>
          <w:lang w:val="en-US" w:eastAsia="zh-CN"/>
        </w:rPr>
      </w:pPr>
      <w:r>
        <w:rPr>
          <w:rFonts w:ascii="仿宋" w:hAnsi="仿宋" w:eastAsia="仿宋" w:cs="仿宋"/>
          <w:spacing w:val="-5"/>
          <w:sz w:val="29"/>
          <w:szCs w:val="29"/>
        </w:rPr>
        <w:t>本</w:t>
      </w:r>
      <w:r>
        <w:rPr>
          <w:rFonts w:ascii="仿宋" w:hAnsi="仿宋" w:eastAsia="仿宋" w:cs="仿宋"/>
          <w:spacing w:val="6"/>
          <w:sz w:val="29"/>
          <w:szCs w:val="29"/>
        </w:rPr>
        <w:t>单位</w:t>
      </w:r>
      <w:r>
        <w:rPr>
          <w:rFonts w:hint="eastAsia" w:ascii="仿宋" w:hAnsi="仿宋" w:eastAsia="仿宋" w:cs="仿宋"/>
          <w:spacing w:val="-5"/>
          <w:sz w:val="29"/>
          <w:szCs w:val="29"/>
          <w:lang w:eastAsia="zh-CN"/>
        </w:rPr>
        <w:t>2022年</w:t>
      </w:r>
      <w:r>
        <w:rPr>
          <w:rFonts w:ascii="仿宋" w:hAnsi="仿宋" w:eastAsia="仿宋" w:cs="仿宋"/>
          <w:spacing w:val="-1"/>
          <w:sz w:val="29"/>
          <w:szCs w:val="29"/>
        </w:rPr>
        <w:t>度支出总计</w:t>
      </w:r>
      <w:r>
        <w:rPr>
          <w:rFonts w:hint="eastAsia" w:ascii="仿宋" w:hAnsi="仿宋" w:eastAsia="仿宋" w:cs="仿宋"/>
          <w:spacing w:val="-1"/>
          <w:sz w:val="29"/>
          <w:szCs w:val="29"/>
          <w:lang w:val="en-US" w:eastAsia="zh-CN"/>
        </w:rPr>
        <w:t>57,869.9</w:t>
      </w:r>
      <w:r>
        <w:rPr>
          <w:rFonts w:ascii="仿宋" w:hAnsi="仿宋" w:eastAsia="仿宋" w:cs="仿宋"/>
          <w:spacing w:val="-1"/>
          <w:sz w:val="29"/>
          <w:szCs w:val="29"/>
        </w:rPr>
        <w:t>万元，其中本年支出</w:t>
      </w:r>
      <w:r>
        <w:rPr>
          <w:rFonts w:hint="eastAsia" w:ascii="仿宋" w:hAnsi="仿宋" w:eastAsia="仿宋" w:cs="仿宋"/>
          <w:spacing w:val="-1"/>
          <w:sz w:val="29"/>
          <w:szCs w:val="29"/>
          <w:lang w:val="en-US" w:eastAsia="zh-CN"/>
        </w:rPr>
        <w:t>38,814.95</w:t>
      </w:r>
      <w:r>
        <w:rPr>
          <w:rFonts w:ascii="仿宋" w:hAnsi="仿宋" w:eastAsia="仿宋" w:cs="仿宋"/>
          <w:spacing w:val="-1"/>
          <w:sz w:val="29"/>
          <w:szCs w:val="29"/>
        </w:rPr>
        <w:t>万元</w:t>
      </w:r>
      <w:r>
        <w:rPr>
          <w:rFonts w:hint="eastAsia" w:ascii="仿宋" w:hAnsi="仿宋" w:eastAsia="仿宋" w:cs="仿宋"/>
          <w:spacing w:val="-1"/>
          <w:sz w:val="29"/>
          <w:szCs w:val="29"/>
        </w:rPr>
        <w:t>，</w:t>
      </w:r>
      <w:r>
        <w:rPr>
          <w:rFonts w:ascii="仿宋" w:hAnsi="仿宋" w:eastAsia="仿宋" w:cs="仿宋"/>
          <w:spacing w:val="-1"/>
          <w:sz w:val="29"/>
          <w:szCs w:val="29"/>
        </w:rPr>
        <w:t>较</w:t>
      </w:r>
      <w:r>
        <w:rPr>
          <w:rFonts w:hint="eastAsia" w:ascii="仿宋" w:hAnsi="仿宋" w:eastAsia="仿宋" w:cs="仿宋"/>
          <w:spacing w:val="-1"/>
          <w:sz w:val="29"/>
          <w:szCs w:val="29"/>
        </w:rPr>
        <w:t>202</w:t>
      </w:r>
      <w:r>
        <w:rPr>
          <w:rFonts w:hint="eastAsia" w:ascii="仿宋" w:hAnsi="仿宋" w:eastAsia="仿宋" w:cs="仿宋"/>
          <w:spacing w:val="-1"/>
          <w:sz w:val="29"/>
          <w:szCs w:val="29"/>
          <w:lang w:val="en-US" w:eastAsia="zh-CN"/>
        </w:rPr>
        <w:t>1</w:t>
      </w:r>
      <w:r>
        <w:rPr>
          <w:rFonts w:ascii="仿宋" w:hAnsi="仿宋" w:eastAsia="仿宋" w:cs="仿宋"/>
          <w:spacing w:val="-1"/>
          <w:sz w:val="29"/>
          <w:szCs w:val="29"/>
        </w:rPr>
        <w:t>年增加</w:t>
      </w:r>
      <w:r>
        <w:rPr>
          <w:rFonts w:hint="eastAsia" w:ascii="仿宋" w:hAnsi="仿宋" w:eastAsia="仿宋" w:cs="仿宋"/>
          <w:spacing w:val="-1"/>
          <w:sz w:val="29"/>
          <w:szCs w:val="29"/>
          <w:lang w:val="en-US" w:eastAsia="zh-CN"/>
        </w:rPr>
        <w:t>10,310.69</w:t>
      </w:r>
      <w:r>
        <w:rPr>
          <w:rFonts w:ascii="仿宋" w:hAnsi="仿宋" w:eastAsia="仿宋" w:cs="仿宋"/>
          <w:spacing w:val="-1"/>
          <w:sz w:val="29"/>
          <w:szCs w:val="29"/>
        </w:rPr>
        <w:t>万元，增长</w:t>
      </w:r>
      <w:r>
        <w:rPr>
          <w:rFonts w:hint="eastAsia" w:ascii="仿宋" w:hAnsi="仿宋" w:eastAsia="仿宋" w:cs="仿宋"/>
          <w:spacing w:val="-1"/>
          <w:sz w:val="29"/>
          <w:szCs w:val="29"/>
          <w:lang w:val="en-US" w:eastAsia="zh-CN"/>
        </w:rPr>
        <w:t>36.17</w:t>
      </w:r>
      <w:r>
        <w:rPr>
          <w:rFonts w:ascii="仿宋" w:hAnsi="仿宋" w:eastAsia="仿宋" w:cs="仿宋"/>
          <w:spacing w:val="-1"/>
          <w:sz w:val="29"/>
          <w:szCs w:val="29"/>
        </w:rPr>
        <w:t>%，主要原因是：</w:t>
      </w:r>
      <w:r>
        <w:rPr>
          <w:rFonts w:hint="eastAsia" w:ascii="仿宋" w:hAnsi="仿宋" w:eastAsia="仿宋" w:cs="仿宋"/>
          <w:spacing w:val="-1"/>
          <w:sz w:val="29"/>
          <w:szCs w:val="29"/>
          <w:lang w:val="en-US" w:eastAsia="zh-CN"/>
        </w:rPr>
        <w:t>2022年医疗收入增长幅度较大，医院员工有所增加</w:t>
      </w:r>
      <w:r>
        <w:rPr>
          <w:rFonts w:hint="eastAsia" w:ascii="仿宋" w:hAnsi="仿宋" w:eastAsia="仿宋" w:cs="仿宋"/>
          <w:spacing w:val="-1"/>
          <w:sz w:val="29"/>
          <w:szCs w:val="29"/>
        </w:rPr>
        <w:t>；</w:t>
      </w:r>
      <w:r>
        <w:rPr>
          <w:rFonts w:ascii="仿宋" w:hAnsi="仿宋" w:eastAsia="仿宋" w:cs="仿宋"/>
          <w:spacing w:val="-1"/>
          <w:sz w:val="29"/>
          <w:szCs w:val="29"/>
        </w:rPr>
        <w:t>年末结转和结余</w:t>
      </w:r>
      <w:r>
        <w:rPr>
          <w:rFonts w:hint="eastAsia" w:ascii="仿宋" w:hAnsi="仿宋" w:eastAsia="仿宋" w:cs="仿宋"/>
          <w:spacing w:val="-1"/>
          <w:sz w:val="29"/>
          <w:szCs w:val="29"/>
          <w:lang w:val="en-US" w:eastAsia="zh-CN"/>
        </w:rPr>
        <w:t>19,054.95</w:t>
      </w:r>
      <w:r>
        <w:rPr>
          <w:rFonts w:ascii="仿宋" w:hAnsi="仿宋" w:eastAsia="仿宋" w:cs="仿宋"/>
          <w:spacing w:val="-1"/>
          <w:sz w:val="29"/>
          <w:szCs w:val="29"/>
        </w:rPr>
        <w:t>万元，较</w:t>
      </w:r>
      <w:r>
        <w:rPr>
          <w:rFonts w:hint="eastAsia" w:ascii="仿宋" w:hAnsi="仿宋" w:eastAsia="仿宋" w:cs="仿宋"/>
          <w:spacing w:val="-1"/>
          <w:sz w:val="29"/>
          <w:szCs w:val="29"/>
        </w:rPr>
        <w:t>202</w:t>
      </w:r>
      <w:r>
        <w:rPr>
          <w:rFonts w:hint="eastAsia" w:ascii="仿宋" w:hAnsi="仿宋" w:eastAsia="仿宋" w:cs="仿宋"/>
          <w:spacing w:val="-1"/>
          <w:sz w:val="29"/>
          <w:szCs w:val="29"/>
          <w:lang w:val="en-US" w:eastAsia="zh-CN"/>
        </w:rPr>
        <w:t>1</w:t>
      </w:r>
      <w:r>
        <w:rPr>
          <w:rFonts w:ascii="仿宋" w:hAnsi="仿宋" w:eastAsia="仿宋" w:cs="仿宋"/>
          <w:spacing w:val="-1"/>
          <w:sz w:val="29"/>
          <w:szCs w:val="29"/>
        </w:rPr>
        <w:t>年</w:t>
      </w:r>
      <w:r>
        <w:rPr>
          <w:rFonts w:hint="eastAsia" w:ascii="仿宋" w:hAnsi="仿宋" w:eastAsia="仿宋" w:cs="仿宋"/>
          <w:spacing w:val="-1"/>
          <w:sz w:val="29"/>
          <w:szCs w:val="29"/>
          <w:lang w:val="en-US" w:eastAsia="zh-CN"/>
        </w:rPr>
        <w:t>增加3,798.87</w:t>
      </w:r>
      <w:r>
        <w:rPr>
          <w:rFonts w:ascii="仿宋" w:hAnsi="仿宋" w:eastAsia="仿宋" w:cs="仿宋"/>
          <w:spacing w:val="-1"/>
          <w:sz w:val="29"/>
          <w:szCs w:val="29"/>
        </w:rPr>
        <w:t>万元，主要原因是：</w:t>
      </w:r>
      <w:r>
        <w:rPr>
          <w:rFonts w:hint="eastAsia" w:ascii="仿宋" w:hAnsi="仿宋" w:eastAsia="仿宋" w:cs="仿宋"/>
          <w:spacing w:val="-1"/>
          <w:sz w:val="29"/>
          <w:szCs w:val="29"/>
          <w:lang w:val="en-US" w:eastAsia="zh-CN"/>
        </w:rPr>
        <w:t>医疗收入增长，盈余增加。</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76" w:firstLineChars="200"/>
        <w:jc w:val="both"/>
        <w:textAlignment w:val="baseline"/>
        <w:rPr>
          <w:rFonts w:ascii="仿宋" w:hAnsi="仿宋" w:eastAsia="仿宋" w:cs="仿宋"/>
          <w:spacing w:val="-1"/>
          <w:sz w:val="29"/>
          <w:szCs w:val="29"/>
        </w:rPr>
      </w:pPr>
      <w:r>
        <w:rPr>
          <w:rFonts w:ascii="仿宋" w:hAnsi="仿宋" w:eastAsia="仿宋" w:cs="仿宋"/>
          <w:spacing w:val="-1"/>
          <w:sz w:val="29"/>
          <w:szCs w:val="29"/>
        </w:rPr>
        <w:t>本年支出的具体构成为</w:t>
      </w:r>
      <w:r>
        <w:rPr>
          <w:rFonts w:hint="eastAsia" w:ascii="仿宋" w:hAnsi="仿宋" w:eastAsia="仿宋" w:cs="仿宋"/>
          <w:spacing w:val="-1"/>
          <w:sz w:val="29"/>
          <w:szCs w:val="29"/>
        </w:rPr>
        <w:t>：</w:t>
      </w:r>
      <w:r>
        <w:rPr>
          <w:rFonts w:ascii="仿宋" w:hAnsi="仿宋" w:eastAsia="仿宋" w:cs="仿宋"/>
          <w:spacing w:val="-1"/>
          <w:sz w:val="29"/>
          <w:szCs w:val="29"/>
        </w:rPr>
        <w:t>基本支出</w:t>
      </w:r>
      <w:r>
        <w:rPr>
          <w:rFonts w:hint="eastAsia" w:ascii="仿宋" w:hAnsi="仿宋" w:eastAsia="仿宋" w:cs="仿宋"/>
          <w:spacing w:val="-1"/>
          <w:sz w:val="29"/>
          <w:szCs w:val="29"/>
          <w:lang w:val="en-US" w:eastAsia="zh-CN"/>
        </w:rPr>
        <w:t>12,765.50</w:t>
      </w:r>
      <w:r>
        <w:rPr>
          <w:rFonts w:ascii="仿宋" w:hAnsi="仿宋" w:eastAsia="仿宋" w:cs="仿宋"/>
          <w:spacing w:val="-1"/>
          <w:sz w:val="29"/>
          <w:szCs w:val="29"/>
        </w:rPr>
        <w:t>万元</w:t>
      </w:r>
      <w:r>
        <w:rPr>
          <w:rFonts w:hint="eastAsia" w:ascii="仿宋" w:hAnsi="仿宋" w:eastAsia="仿宋" w:cs="仿宋"/>
          <w:spacing w:val="-1"/>
          <w:sz w:val="29"/>
          <w:szCs w:val="29"/>
        </w:rPr>
        <w:t>，</w:t>
      </w:r>
      <w:r>
        <w:rPr>
          <w:rFonts w:ascii="仿宋" w:hAnsi="仿宋" w:eastAsia="仿宋" w:cs="仿宋"/>
          <w:spacing w:val="-1"/>
          <w:sz w:val="29"/>
          <w:szCs w:val="29"/>
        </w:rPr>
        <w:t>占</w:t>
      </w:r>
      <w:r>
        <w:rPr>
          <w:rFonts w:hint="eastAsia" w:ascii="仿宋" w:hAnsi="仿宋" w:eastAsia="仿宋" w:cs="仿宋"/>
          <w:spacing w:val="-1"/>
          <w:sz w:val="29"/>
          <w:szCs w:val="29"/>
          <w:lang w:val="en-US" w:eastAsia="zh-CN"/>
        </w:rPr>
        <w:t>32.89</w:t>
      </w:r>
      <w:r>
        <w:rPr>
          <w:rFonts w:ascii="仿宋" w:hAnsi="仿宋" w:eastAsia="仿宋" w:cs="仿宋"/>
          <w:spacing w:val="-1"/>
          <w:sz w:val="29"/>
          <w:szCs w:val="29"/>
        </w:rPr>
        <w:t>%</w:t>
      </w:r>
      <w:r>
        <w:rPr>
          <w:rFonts w:hint="eastAsia" w:ascii="仿宋" w:hAnsi="仿宋" w:eastAsia="仿宋" w:cs="仿宋"/>
          <w:spacing w:val="-1"/>
          <w:sz w:val="29"/>
          <w:szCs w:val="29"/>
        </w:rPr>
        <w:t>；</w:t>
      </w:r>
      <w:r>
        <w:rPr>
          <w:rFonts w:ascii="仿宋" w:hAnsi="仿宋" w:eastAsia="仿宋" w:cs="仿宋"/>
          <w:spacing w:val="-1"/>
          <w:sz w:val="29"/>
          <w:szCs w:val="29"/>
        </w:rPr>
        <w:t>项目支出</w:t>
      </w:r>
      <w:r>
        <w:rPr>
          <w:rFonts w:hint="eastAsia" w:ascii="仿宋" w:hAnsi="仿宋" w:eastAsia="仿宋" w:cs="仿宋"/>
          <w:spacing w:val="-1"/>
          <w:sz w:val="29"/>
          <w:szCs w:val="29"/>
          <w:lang w:val="en-US" w:eastAsia="zh-CN"/>
        </w:rPr>
        <w:t>26,049.45</w:t>
      </w:r>
      <w:r>
        <w:rPr>
          <w:rFonts w:ascii="仿宋" w:hAnsi="仿宋" w:eastAsia="仿宋" w:cs="仿宋"/>
          <w:spacing w:val="-1"/>
          <w:sz w:val="29"/>
          <w:szCs w:val="29"/>
        </w:rPr>
        <w:t>万元</w:t>
      </w:r>
      <w:r>
        <w:rPr>
          <w:rFonts w:hint="eastAsia" w:ascii="仿宋" w:hAnsi="仿宋" w:eastAsia="仿宋" w:cs="仿宋"/>
          <w:spacing w:val="-1"/>
          <w:sz w:val="29"/>
          <w:szCs w:val="29"/>
        </w:rPr>
        <w:t>，</w:t>
      </w:r>
      <w:r>
        <w:rPr>
          <w:rFonts w:ascii="仿宋" w:hAnsi="仿宋" w:eastAsia="仿宋" w:cs="仿宋"/>
          <w:spacing w:val="-1"/>
          <w:sz w:val="29"/>
          <w:szCs w:val="29"/>
        </w:rPr>
        <w:t>占</w:t>
      </w:r>
      <w:r>
        <w:rPr>
          <w:rFonts w:hint="eastAsia" w:ascii="仿宋" w:hAnsi="仿宋" w:eastAsia="仿宋" w:cs="仿宋"/>
          <w:spacing w:val="-1"/>
          <w:sz w:val="29"/>
          <w:szCs w:val="29"/>
          <w:lang w:val="en-US" w:eastAsia="zh-CN"/>
        </w:rPr>
        <w:t>67.11</w:t>
      </w:r>
      <w:r>
        <w:rPr>
          <w:rFonts w:ascii="仿宋" w:hAnsi="仿宋" w:eastAsia="仿宋" w:cs="仿宋"/>
          <w:spacing w:val="-1"/>
          <w:sz w:val="29"/>
          <w:szCs w:val="29"/>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44" w:firstLineChars="200"/>
        <w:jc w:val="both"/>
        <w:textAlignment w:val="baseline"/>
        <w:rPr>
          <w:rFonts w:ascii="黑体" w:hAnsi="黑体" w:eastAsia="黑体" w:cs="黑体"/>
          <w:sz w:val="29"/>
          <w:szCs w:val="29"/>
        </w:rPr>
      </w:pPr>
      <w:r>
        <w:rPr>
          <w:rFonts w:ascii="黑体" w:hAnsi="黑体" w:eastAsia="黑体" w:cs="黑体"/>
          <w:spacing w:val="16"/>
          <w:sz w:val="29"/>
          <w:szCs w:val="29"/>
        </w:rPr>
        <w:t>三</w:t>
      </w:r>
      <w:r>
        <w:rPr>
          <w:rFonts w:ascii="黑体" w:hAnsi="黑体" w:eastAsia="黑体" w:cs="黑体"/>
          <w:spacing w:val="10"/>
          <w:sz w:val="29"/>
          <w:szCs w:val="29"/>
        </w:rPr>
        <w:t>、</w:t>
      </w:r>
      <w:r>
        <w:rPr>
          <w:rFonts w:ascii="黑体" w:hAnsi="黑体" w:eastAsia="黑体" w:cs="黑体"/>
          <w:spacing w:val="8"/>
          <w:sz w:val="29"/>
          <w:szCs w:val="29"/>
        </w:rPr>
        <w:t>财政拨款支出决算情况说明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88" w:firstLineChars="200"/>
        <w:jc w:val="both"/>
        <w:textAlignment w:val="baseline"/>
        <w:rPr>
          <w:rFonts w:hint="default" w:ascii="仿宋" w:hAnsi="仿宋" w:eastAsia="仿宋" w:cs="仿宋"/>
          <w:sz w:val="29"/>
          <w:szCs w:val="29"/>
          <w:lang w:val="en-US"/>
        </w:rPr>
      </w:pPr>
      <w:r>
        <w:rPr>
          <w:rFonts w:hint="eastAsia" w:ascii="仿宋" w:hAnsi="仿宋" w:eastAsia="仿宋" w:cs="仿宋"/>
          <w:spacing w:val="2"/>
          <w:sz w:val="29"/>
          <w:szCs w:val="29"/>
          <w:lang w:val="en-US" w:eastAsia="zh-CN"/>
        </w:rPr>
        <w:t>本年度无财政拨款</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44" w:firstLineChars="200"/>
        <w:jc w:val="both"/>
        <w:textAlignment w:val="baseline"/>
        <w:rPr>
          <w:rFonts w:ascii="黑体" w:hAnsi="黑体" w:eastAsia="黑体" w:cs="黑体"/>
          <w:sz w:val="29"/>
          <w:szCs w:val="29"/>
        </w:rPr>
      </w:pPr>
      <w:r>
        <w:rPr>
          <w:rFonts w:ascii="黑体" w:hAnsi="黑体" w:eastAsia="黑体" w:cs="黑体"/>
          <w:spacing w:val="16"/>
          <w:sz w:val="29"/>
          <w:szCs w:val="29"/>
        </w:rPr>
        <w:t>四</w:t>
      </w:r>
      <w:r>
        <w:rPr>
          <w:rFonts w:ascii="黑体" w:hAnsi="黑体" w:eastAsia="黑体" w:cs="黑体"/>
          <w:spacing w:val="14"/>
          <w:sz w:val="29"/>
          <w:szCs w:val="29"/>
        </w:rPr>
        <w:t>、</w:t>
      </w:r>
      <w:r>
        <w:rPr>
          <w:rFonts w:ascii="黑体" w:hAnsi="黑体" w:eastAsia="黑体" w:cs="黑体"/>
          <w:spacing w:val="8"/>
          <w:sz w:val="29"/>
          <w:szCs w:val="29"/>
        </w:rPr>
        <w:t>一般公共预算财政拨款基本支出决算情况说明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default" w:ascii="仿宋" w:hAnsi="仿宋" w:eastAsia="仿宋" w:cs="仿宋"/>
          <w:spacing w:val="4"/>
          <w:sz w:val="29"/>
          <w:szCs w:val="29"/>
          <w:lang w:val="en-US" w:eastAsia="zh-CN"/>
        </w:rPr>
      </w:pPr>
      <w:r>
        <w:rPr>
          <w:rFonts w:hint="eastAsia" w:ascii="仿宋" w:hAnsi="仿宋" w:eastAsia="仿宋" w:cs="仿宋"/>
          <w:spacing w:val="4"/>
          <w:sz w:val="29"/>
          <w:szCs w:val="29"/>
          <w:lang w:val="en-US" w:eastAsia="zh-CN"/>
        </w:rPr>
        <w:t>本年度无一般公共预算财政拨款基本支出</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z w:val="29"/>
          <w:szCs w:val="29"/>
        </w:rPr>
      </w:pPr>
      <w:r>
        <w:rPr>
          <w:rFonts w:ascii="黑体" w:hAnsi="黑体" w:eastAsia="黑体" w:cs="黑体"/>
          <w:spacing w:val="8"/>
          <w:sz w:val="29"/>
          <w:szCs w:val="29"/>
        </w:rPr>
        <w:t>五、一</w:t>
      </w:r>
      <w:r>
        <w:rPr>
          <w:rFonts w:ascii="黑体" w:hAnsi="黑体" w:eastAsia="黑体" w:cs="黑体"/>
          <w:spacing w:val="5"/>
          <w:sz w:val="29"/>
          <w:szCs w:val="29"/>
        </w:rPr>
        <w:t>般</w:t>
      </w:r>
      <w:r>
        <w:rPr>
          <w:rFonts w:ascii="黑体" w:hAnsi="黑体" w:eastAsia="黑体" w:cs="黑体"/>
          <w:spacing w:val="4"/>
          <w:sz w:val="29"/>
          <w:szCs w:val="29"/>
        </w:rPr>
        <w:t>公共预算财政拨款“三公”经费支出决算情况说明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4"/>
          <w:sz w:val="29"/>
          <w:szCs w:val="29"/>
        </w:rPr>
      </w:pPr>
      <w:r>
        <w:rPr>
          <w:rFonts w:hint="eastAsia" w:ascii="仿宋" w:hAnsi="仿宋" w:eastAsia="仿宋" w:cs="仿宋"/>
          <w:spacing w:val="4"/>
          <w:sz w:val="29"/>
          <w:szCs w:val="29"/>
          <w:lang w:val="en-US" w:eastAsia="zh-CN"/>
        </w:rPr>
        <w:t xml:space="preserve">本单位2022年度无一般公共预算财政拨款“三公”经费支出。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36" w:firstLineChars="200"/>
        <w:jc w:val="both"/>
        <w:textAlignment w:val="baseline"/>
        <w:rPr>
          <w:rFonts w:ascii="黑体" w:hAnsi="黑体" w:eastAsia="黑体" w:cs="黑体"/>
          <w:sz w:val="29"/>
          <w:szCs w:val="29"/>
        </w:rPr>
      </w:pPr>
      <w:r>
        <w:rPr>
          <w:rFonts w:ascii="黑体" w:hAnsi="黑体" w:eastAsia="黑体" w:cs="黑体"/>
          <w:spacing w:val="14"/>
          <w:sz w:val="29"/>
          <w:szCs w:val="29"/>
        </w:rPr>
        <w:t>六</w:t>
      </w:r>
      <w:r>
        <w:rPr>
          <w:rFonts w:ascii="黑体" w:hAnsi="黑体" w:eastAsia="黑体" w:cs="黑体"/>
          <w:spacing w:val="8"/>
          <w:sz w:val="29"/>
          <w:szCs w:val="29"/>
        </w:rPr>
        <w:t>、机关运行经费支出情况说明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ascii="仿宋" w:hAnsi="仿宋" w:eastAsia="仿宋" w:cs="仿宋"/>
          <w:spacing w:val="4"/>
          <w:sz w:val="29"/>
          <w:szCs w:val="29"/>
        </w:rPr>
      </w:pPr>
      <w:r>
        <w:rPr>
          <w:rFonts w:hint="eastAsia" w:ascii="仿宋" w:hAnsi="仿宋" w:eastAsia="仿宋" w:cs="仿宋"/>
          <w:spacing w:val="4"/>
          <w:sz w:val="29"/>
          <w:szCs w:val="29"/>
        </w:rPr>
        <w:t>本单位不是行政单位或参照公务员法管理事业单位，故无机关运行经费支出。</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8" w:firstLineChars="200"/>
        <w:jc w:val="both"/>
        <w:textAlignment w:val="baseline"/>
        <w:rPr>
          <w:rFonts w:hint="eastAsia" w:ascii="黑体" w:hAnsi="黑体" w:eastAsia="黑体" w:cs="黑体"/>
          <w:spacing w:val="12"/>
          <w:sz w:val="29"/>
          <w:szCs w:val="29"/>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8" w:firstLineChars="200"/>
        <w:jc w:val="both"/>
        <w:textAlignment w:val="baseline"/>
        <w:rPr>
          <w:rFonts w:ascii="黑体" w:hAnsi="黑体" w:eastAsia="黑体" w:cs="黑体"/>
          <w:spacing w:val="12"/>
          <w:sz w:val="29"/>
          <w:szCs w:val="29"/>
        </w:rPr>
      </w:pPr>
      <w:r>
        <w:rPr>
          <w:rFonts w:hint="eastAsia" w:ascii="黑体" w:hAnsi="黑体" w:eastAsia="黑体" w:cs="黑体"/>
          <w:spacing w:val="12"/>
          <w:sz w:val="29"/>
          <w:szCs w:val="29"/>
        </w:rPr>
        <w:t>七、政府采购支出情况说明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trike w:val="0"/>
          <w:dstrike w:val="0"/>
          <w:spacing w:val="4"/>
          <w:sz w:val="29"/>
          <w:szCs w:val="29"/>
          <w:lang w:val="en-US" w:eastAsia="zh-CN"/>
        </w:rPr>
      </w:pPr>
      <w:r>
        <w:rPr>
          <w:rFonts w:hint="eastAsia" w:ascii="仿宋" w:hAnsi="仿宋" w:eastAsia="仿宋" w:cs="仿宋"/>
          <w:strike w:val="0"/>
          <w:dstrike w:val="0"/>
          <w:spacing w:val="4"/>
          <w:sz w:val="29"/>
          <w:szCs w:val="29"/>
          <w:lang w:val="en-US" w:eastAsia="zh-CN"/>
        </w:rPr>
        <w:t>无</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8" w:firstLineChars="200"/>
        <w:jc w:val="both"/>
        <w:textAlignment w:val="baseline"/>
        <w:rPr>
          <w:rFonts w:ascii="黑体" w:hAnsi="黑体" w:eastAsia="黑体" w:cs="黑体"/>
          <w:sz w:val="29"/>
          <w:szCs w:val="29"/>
        </w:rPr>
      </w:pPr>
      <w:r>
        <w:rPr>
          <w:rFonts w:ascii="黑体" w:hAnsi="黑体" w:eastAsia="黑体" w:cs="黑体"/>
          <w:spacing w:val="12"/>
          <w:sz w:val="29"/>
          <w:szCs w:val="29"/>
        </w:rPr>
        <w:t>八</w:t>
      </w:r>
      <w:r>
        <w:rPr>
          <w:rFonts w:ascii="黑体" w:hAnsi="黑体" w:eastAsia="黑体" w:cs="黑体"/>
          <w:spacing w:val="8"/>
          <w:sz w:val="29"/>
          <w:szCs w:val="29"/>
        </w:rPr>
        <w:t>、国有资产占用情况说明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40" w:firstLineChars="200"/>
        <w:jc w:val="both"/>
        <w:textAlignment w:val="baseline"/>
        <w:rPr>
          <w:rFonts w:ascii="仿宋" w:hAnsi="仿宋" w:eastAsia="仿宋" w:cs="仿宋"/>
          <w:sz w:val="29"/>
          <w:szCs w:val="29"/>
        </w:rPr>
      </w:pPr>
      <w:r>
        <w:rPr>
          <w:rFonts w:ascii="仿宋" w:hAnsi="仿宋" w:eastAsia="仿宋" w:cs="仿宋"/>
          <w:spacing w:val="-10"/>
          <w:sz w:val="29"/>
          <w:szCs w:val="29"/>
        </w:rPr>
        <w:t>截</w:t>
      </w:r>
      <w:r>
        <w:rPr>
          <w:rFonts w:hint="eastAsia" w:ascii="仿宋" w:hAnsi="仿宋" w:eastAsia="仿宋" w:cs="仿宋"/>
          <w:spacing w:val="-10"/>
          <w:sz w:val="29"/>
          <w:szCs w:val="29"/>
          <w:lang w:eastAsia="zh-CN"/>
        </w:rPr>
        <w:t>至</w:t>
      </w:r>
      <w:r>
        <w:rPr>
          <w:rFonts w:hint="eastAsia" w:ascii="仿宋" w:hAnsi="仿宋" w:eastAsia="仿宋" w:cs="仿宋"/>
          <w:spacing w:val="-9"/>
          <w:sz w:val="29"/>
          <w:szCs w:val="29"/>
          <w:lang w:eastAsia="zh-CN"/>
        </w:rPr>
        <w:t>2022年</w:t>
      </w:r>
      <w:r>
        <w:rPr>
          <w:rFonts w:ascii="仿宋" w:hAnsi="仿宋" w:eastAsia="仿宋" w:cs="仿宋"/>
          <w:spacing w:val="-5"/>
          <w:sz w:val="29"/>
          <w:szCs w:val="29"/>
        </w:rPr>
        <w:t>12月31日，本单位国有资产占用情</w:t>
      </w:r>
      <w:r>
        <w:rPr>
          <w:rFonts w:ascii="仿宋" w:hAnsi="仿宋" w:eastAsia="仿宋" w:cs="仿宋"/>
          <w:spacing w:val="-1"/>
          <w:sz w:val="29"/>
          <w:szCs w:val="29"/>
        </w:rPr>
        <w:t>况</w:t>
      </w:r>
      <w:r>
        <w:rPr>
          <w:rFonts w:hint="eastAsia" w:ascii="仿宋" w:hAnsi="仿宋" w:eastAsia="仿宋" w:cs="仿宋"/>
          <w:spacing w:val="-1"/>
          <w:sz w:val="29"/>
          <w:szCs w:val="29"/>
          <w:lang w:eastAsia="zh-CN"/>
        </w:rPr>
        <w:t>详</w:t>
      </w:r>
      <w:r>
        <w:rPr>
          <w:rFonts w:ascii="仿宋" w:hAnsi="仿宋" w:eastAsia="仿宋" w:cs="仿宋"/>
          <w:spacing w:val="-1"/>
          <w:sz w:val="29"/>
          <w:szCs w:val="29"/>
        </w:rPr>
        <w:t>见公</w:t>
      </w:r>
      <w:r>
        <w:rPr>
          <w:rFonts w:ascii="仿宋" w:hAnsi="仿宋" w:eastAsia="仿宋" w:cs="仿宋"/>
          <w:sz w:val="29"/>
          <w:szCs w:val="29"/>
        </w:rPr>
        <w:t>开10表</w:t>
      </w:r>
    </w:p>
    <w:p>
      <w:pPr>
        <w:keepNext w:val="0"/>
        <w:keepLines w:val="0"/>
        <w:pageBreakBefore w:val="0"/>
        <w:widowControl w:val="0"/>
        <w:kinsoku w:val="0"/>
        <w:wordWrap/>
        <w:overflowPunct/>
        <w:topLinePunct w:val="0"/>
        <w:autoSpaceDE w:val="0"/>
        <w:autoSpaceDN w:val="0"/>
        <w:bidi w:val="0"/>
        <w:adjustRightInd w:val="0"/>
        <w:snapToGrid w:val="0"/>
        <w:spacing w:line="552" w:lineRule="exact"/>
        <w:jc w:val="both"/>
        <w:textAlignment w:val="baseline"/>
        <w:rPr>
          <w:rFonts w:hint="default" w:ascii="仿宋" w:hAnsi="仿宋" w:eastAsia="仿宋" w:cs="仿宋"/>
          <w:sz w:val="29"/>
          <w:szCs w:val="29"/>
          <w:lang w:val="en-US" w:eastAsia="zh-CN"/>
        </w:rPr>
      </w:pPr>
      <w:r>
        <w:rPr>
          <w:rFonts w:hint="eastAsia" w:ascii="仿宋" w:hAnsi="仿宋" w:eastAsia="仿宋" w:cs="仿宋"/>
          <w:sz w:val="29"/>
          <w:szCs w:val="29"/>
        </w:rPr>
        <w:t>《</w:t>
      </w:r>
      <w:r>
        <w:rPr>
          <w:rFonts w:ascii="仿宋" w:hAnsi="仿宋" w:eastAsia="仿宋" w:cs="仿宋"/>
          <w:sz w:val="29"/>
          <w:szCs w:val="29"/>
        </w:rPr>
        <w:t>国有资产占用情况表</w:t>
      </w:r>
      <w:r>
        <w:rPr>
          <w:rFonts w:hint="eastAsia" w:ascii="仿宋" w:hAnsi="仿宋" w:eastAsia="仿宋" w:cs="仿宋"/>
          <w:sz w:val="29"/>
          <w:szCs w:val="29"/>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6" w:firstLineChars="200"/>
        <w:jc w:val="both"/>
        <w:textAlignment w:val="baseline"/>
        <w:rPr>
          <w:rFonts w:ascii="黑体" w:hAnsi="黑体" w:eastAsia="黑体" w:cs="黑体"/>
          <w:sz w:val="29"/>
          <w:szCs w:val="29"/>
        </w:rPr>
      </w:pPr>
      <w:r>
        <w:rPr>
          <w:rFonts w:ascii="黑体" w:hAnsi="黑体" w:eastAsia="黑体" w:cs="黑体"/>
          <w:spacing w:val="9"/>
          <w:sz w:val="29"/>
          <w:szCs w:val="29"/>
        </w:rPr>
        <w:t>九</w:t>
      </w:r>
      <w:r>
        <w:rPr>
          <w:rFonts w:ascii="黑体" w:hAnsi="黑体" w:eastAsia="黑体" w:cs="黑体"/>
          <w:spacing w:val="8"/>
          <w:sz w:val="29"/>
          <w:szCs w:val="29"/>
        </w:rPr>
        <w:t>、预算绩效情况说明</w:t>
      </w:r>
    </w:p>
    <w:p>
      <w:pPr>
        <w:spacing w:line="60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5月医院开业运营以来，南昌大学第一附属医院不断加强高新医院管理团队建设，全方位支持高新医院发展，医院管理团队充分发挥总院平台的优势，提高医疗质量及服务水平，加快同质化管理步伐，医院发展迈上了新台阶。</w:t>
      </w:r>
    </w:p>
    <w:p>
      <w:pPr>
        <w:pStyle w:val="2"/>
        <w:widowControl/>
        <w:numPr>
          <w:ilvl w:val="0"/>
          <w:numId w:val="2"/>
        </w:numPr>
        <w:shd w:val="clear" w:color="auto" w:fill="FFFFFF"/>
        <w:spacing w:beforeAutospacing="0" w:afterAutospacing="0" w:line="600" w:lineRule="atLeas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医院经济指标平稳有序</w:t>
      </w:r>
    </w:p>
    <w:p>
      <w:pPr>
        <w:numPr>
          <w:ilvl w:val="255"/>
          <w:numId w:val="0"/>
        </w:numPr>
        <w:adjustRightInd w:val="0"/>
        <w:snapToGrid w:val="0"/>
        <w:spacing w:line="600" w:lineRule="exact"/>
        <w:ind w:firstLine="640" w:firstLineChars="20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2022年医院门急诊量达39.44万；出院17621人次，同比上涨20.9%；手术4844台次，同比增长17.1%；业务收入</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4.078亿元，同比增长18.68%。</w:t>
      </w:r>
    </w:p>
    <w:p>
      <w:pPr>
        <w:numPr>
          <w:ilvl w:val="0"/>
          <w:numId w:val="3"/>
        </w:num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医疗服务能力持续增强</w:t>
      </w:r>
    </w:p>
    <w:p>
      <w:pPr>
        <w:numPr>
          <w:ilvl w:val="255"/>
          <w:numId w:val="0"/>
        </w:numPr>
        <w:adjustRightInd w:val="0"/>
        <w:snapToGrid w:val="0"/>
        <w:spacing w:line="600" w:lineRule="exact"/>
        <w:ind w:firstLine="640" w:firstLineChars="200"/>
        <w:jc w:val="lef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学科建设日趋完善，严守医疗质量安全，血透中心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荣获</w:t>
      </w:r>
      <w:r>
        <w:rPr>
          <w:rFonts w:hint="eastAsia" w:ascii="仿宋_GB2312" w:hAnsi="仿宋_GB2312" w:eastAsia="仿宋_GB2312" w:cs="仿宋_GB2312"/>
          <w:color w:val="000000" w:themeColor="text1"/>
          <w:sz w:val="32"/>
          <w:szCs w:val="32"/>
          <w14:textFill>
            <w14:solidFill>
              <w14:schemeClr w14:val="tx1"/>
            </w14:solidFill>
          </w14:textFill>
        </w:rPr>
        <w:t>南昌市血透质量检查冠军，医疗服务能力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持续增强</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）经济及社会效益双提升</w:t>
      </w:r>
    </w:p>
    <w:p>
      <w:pPr>
        <w:keepNext w:val="0"/>
        <w:keepLines w:val="0"/>
        <w:pageBreakBefore w:val="0"/>
        <w:kinsoku w:val="0"/>
        <w:wordWrap/>
        <w:overflowPunct/>
        <w:topLinePunct w:val="0"/>
        <w:autoSpaceDE w:val="0"/>
        <w:autoSpaceDN w:val="0"/>
        <w:bidi w:val="0"/>
        <w:adjustRightInd w:val="0"/>
        <w:snapToGrid w:val="0"/>
        <w:spacing w:line="536" w:lineRule="exact"/>
        <w:ind w:firstLine="640"/>
        <w:jc w:val="left"/>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全年支援大型活动医疗保障任务30余次，全年派遣医护人员开展义诊活动13次，科普宣传10余次，扩大医疗服务辐射面，切实造福百姓。</w:t>
      </w:r>
    </w:p>
    <w:p>
      <w:pPr>
        <w:keepNext w:val="0"/>
        <w:keepLines w:val="0"/>
        <w:pageBreakBefore w:val="0"/>
        <w:kinsoku w:val="0"/>
        <w:wordWrap/>
        <w:overflowPunct/>
        <w:topLinePunct w:val="0"/>
        <w:autoSpaceDE w:val="0"/>
        <w:autoSpaceDN w:val="0"/>
        <w:bidi w:val="0"/>
        <w:adjustRightInd w:val="0"/>
        <w:snapToGrid w:val="0"/>
        <w:spacing w:line="536" w:lineRule="exact"/>
        <w:ind w:firstLine="640"/>
        <w:jc w:val="left"/>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val="0"/>
        <w:wordWrap/>
        <w:overflowPunct/>
        <w:topLinePunct w:val="0"/>
        <w:autoSpaceDE w:val="0"/>
        <w:autoSpaceDN w:val="0"/>
        <w:bidi w:val="0"/>
        <w:adjustRightInd w:val="0"/>
        <w:snapToGrid w:val="0"/>
        <w:spacing w:line="536" w:lineRule="exact"/>
        <w:jc w:val="center"/>
        <w:textAlignment w:val="baseline"/>
        <w:rPr>
          <w:rFonts w:ascii="宋体" w:hAnsi="宋体" w:eastAsia="宋体" w:cs="宋体"/>
          <w:spacing w:val="5"/>
          <w:sz w:val="36"/>
          <w:szCs w:val="36"/>
          <w14:textOutline w14:w="5791" w14:cap="sq" w14:cmpd="sng" w14:algn="ctr">
            <w14:solidFill>
              <w14:srgbClr w14:val="000000"/>
            </w14:solidFill>
            <w14:prstDash w14:val="solid"/>
            <w14:bevel/>
          </w14:textOutline>
        </w:rPr>
      </w:pPr>
    </w:p>
    <w:p>
      <w:pPr>
        <w:keepNext w:val="0"/>
        <w:keepLines w:val="0"/>
        <w:pageBreakBefore w:val="0"/>
        <w:kinsoku w:val="0"/>
        <w:wordWrap/>
        <w:overflowPunct/>
        <w:topLinePunct w:val="0"/>
        <w:autoSpaceDE w:val="0"/>
        <w:autoSpaceDN w:val="0"/>
        <w:bidi w:val="0"/>
        <w:adjustRightInd w:val="0"/>
        <w:snapToGrid w:val="0"/>
        <w:spacing w:line="536" w:lineRule="exact"/>
        <w:jc w:val="center"/>
        <w:textAlignment w:val="baseline"/>
        <w:rPr>
          <w:rFonts w:ascii="宋体" w:hAnsi="宋体" w:eastAsia="宋体" w:cs="宋体"/>
          <w:spacing w:val="5"/>
          <w:sz w:val="36"/>
          <w:szCs w:val="36"/>
          <w14:textOutline w14:w="5791" w14:cap="sq" w14:cmpd="sng" w14:algn="ctr">
            <w14:solidFill>
              <w14:srgbClr w14:val="000000"/>
            </w14:solidFill>
            <w14:prstDash w14:val="solid"/>
            <w14:bevel/>
          </w14:textOutline>
        </w:rPr>
      </w:pPr>
    </w:p>
    <w:p>
      <w:pPr>
        <w:keepNext w:val="0"/>
        <w:keepLines w:val="0"/>
        <w:pageBreakBefore w:val="0"/>
        <w:kinsoku w:val="0"/>
        <w:wordWrap/>
        <w:overflowPunct/>
        <w:topLinePunct w:val="0"/>
        <w:autoSpaceDE w:val="0"/>
        <w:autoSpaceDN w:val="0"/>
        <w:bidi w:val="0"/>
        <w:adjustRightInd w:val="0"/>
        <w:snapToGrid w:val="0"/>
        <w:spacing w:line="536" w:lineRule="exact"/>
        <w:jc w:val="center"/>
        <w:textAlignment w:val="baseline"/>
        <w:rPr>
          <w:rFonts w:ascii="宋体" w:hAnsi="宋体" w:eastAsia="宋体" w:cs="宋体"/>
          <w:spacing w:val="5"/>
          <w:sz w:val="36"/>
          <w:szCs w:val="36"/>
          <w14:textOutline w14:w="5791" w14:cap="sq" w14:cmpd="sng" w14:algn="ctr">
            <w14:solidFill>
              <w14:srgbClr w14:val="000000"/>
            </w14:solidFill>
            <w14:prstDash w14:val="solid"/>
            <w14:bevel/>
          </w14:textOutline>
        </w:rPr>
      </w:pPr>
      <w:r>
        <w:rPr>
          <w:rFonts w:ascii="宋体" w:hAnsi="宋体" w:eastAsia="宋体" w:cs="宋体"/>
          <w:spacing w:val="5"/>
          <w:sz w:val="36"/>
          <w:szCs w:val="36"/>
          <w14:textOutline w14:w="5791" w14:cap="sq" w14:cmpd="sng" w14:algn="ctr">
            <w14:solidFill>
              <w14:srgbClr w14:val="000000"/>
            </w14:solidFill>
            <w14:prstDash w14:val="solid"/>
            <w14:bevel/>
          </w14:textOutline>
        </w:rPr>
        <w:t>第四部分  名词解释</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一、收入科目</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（一）</w:t>
      </w:r>
      <w:r>
        <w:rPr>
          <w:rFonts w:ascii="仿宋" w:hAnsi="仿宋" w:eastAsia="仿宋" w:cs="仿宋"/>
          <w:spacing w:val="8"/>
          <w:sz w:val="29"/>
          <w:szCs w:val="29"/>
        </w:rPr>
        <w:t>一般公共预算财政拨款收入</w:t>
      </w:r>
      <w:r>
        <w:rPr>
          <w:rFonts w:hint="eastAsia" w:ascii="仿宋" w:hAnsi="仿宋" w:eastAsia="仿宋" w:cs="仿宋"/>
          <w:spacing w:val="8"/>
          <w:sz w:val="29"/>
          <w:szCs w:val="29"/>
        </w:rPr>
        <w:t>：</w:t>
      </w:r>
      <w:r>
        <w:rPr>
          <w:rFonts w:ascii="仿宋" w:hAnsi="仿宋" w:eastAsia="仿宋" w:cs="仿宋"/>
          <w:spacing w:val="8"/>
          <w:sz w:val="29"/>
          <w:szCs w:val="29"/>
        </w:rPr>
        <w:t>指省级财政当年拨付的资金。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（二）</w:t>
      </w:r>
      <w:r>
        <w:rPr>
          <w:rFonts w:ascii="仿宋" w:hAnsi="仿宋" w:eastAsia="仿宋" w:cs="仿宋"/>
          <w:spacing w:val="8"/>
          <w:sz w:val="29"/>
          <w:szCs w:val="29"/>
        </w:rPr>
        <w:t>政府性基金预算财政拨款收入</w:t>
      </w:r>
      <w:r>
        <w:rPr>
          <w:rFonts w:hint="eastAsia" w:ascii="仿宋" w:hAnsi="仿宋" w:eastAsia="仿宋" w:cs="仿宋"/>
          <w:spacing w:val="8"/>
          <w:sz w:val="29"/>
          <w:szCs w:val="29"/>
          <w:lang w:eastAsia="zh-CN"/>
        </w:rPr>
        <w:t>：</w:t>
      </w:r>
      <w:r>
        <w:rPr>
          <w:rFonts w:ascii="仿宋" w:hAnsi="仿宋" w:eastAsia="仿宋" w:cs="仿宋"/>
          <w:spacing w:val="8"/>
          <w:sz w:val="29"/>
          <w:szCs w:val="29"/>
        </w:rPr>
        <w:t>指省财政使用政府性基金拨付的资金。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（三）</w:t>
      </w:r>
      <w:r>
        <w:rPr>
          <w:rFonts w:ascii="仿宋" w:hAnsi="仿宋" w:eastAsia="仿宋" w:cs="仿宋"/>
          <w:spacing w:val="8"/>
          <w:sz w:val="29"/>
          <w:szCs w:val="29"/>
        </w:rPr>
        <w:t>事业收入</w:t>
      </w:r>
      <w:r>
        <w:rPr>
          <w:rFonts w:hint="eastAsia" w:ascii="仿宋" w:hAnsi="仿宋" w:eastAsia="仿宋" w:cs="仿宋"/>
          <w:spacing w:val="8"/>
          <w:sz w:val="29"/>
          <w:szCs w:val="29"/>
          <w:lang w:eastAsia="zh-CN"/>
        </w:rPr>
        <w:t>：</w:t>
      </w:r>
      <w:r>
        <w:rPr>
          <w:rFonts w:ascii="仿宋" w:hAnsi="仿宋" w:eastAsia="仿宋" w:cs="仿宋"/>
          <w:spacing w:val="8"/>
          <w:sz w:val="29"/>
          <w:szCs w:val="29"/>
        </w:rPr>
        <w:t>指事业单位开展专业业务活动及辅助活动取得的收入，如医疗收入。</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（四）</w:t>
      </w:r>
      <w:r>
        <w:rPr>
          <w:rFonts w:ascii="仿宋" w:hAnsi="仿宋" w:eastAsia="仿宋" w:cs="仿宋"/>
          <w:spacing w:val="8"/>
          <w:sz w:val="29"/>
          <w:szCs w:val="29"/>
        </w:rPr>
        <w:t>经营收入：指事业单位在专业业务活动及辅助活动之外开展非独立核算经营活动取得的收入。</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（五）</w:t>
      </w:r>
      <w:r>
        <w:rPr>
          <w:rFonts w:ascii="仿宋" w:hAnsi="仿宋" w:eastAsia="仿宋" w:cs="仿宋"/>
          <w:spacing w:val="8"/>
          <w:sz w:val="29"/>
          <w:szCs w:val="29"/>
        </w:rPr>
        <w:t>使用非财政拨款结余：填列事业单位用非财政拨款结余</w:t>
      </w:r>
      <w:r>
        <w:rPr>
          <w:rFonts w:hint="eastAsia" w:ascii="仿宋" w:hAnsi="仿宋" w:eastAsia="仿宋" w:cs="仿宋"/>
          <w:spacing w:val="8"/>
          <w:sz w:val="29"/>
          <w:szCs w:val="29"/>
          <w:lang w:eastAsia="zh-CN"/>
        </w:rPr>
        <w:t>（</w:t>
      </w:r>
      <w:r>
        <w:rPr>
          <w:rFonts w:ascii="仿宋" w:hAnsi="仿宋" w:eastAsia="仿宋" w:cs="仿宋"/>
          <w:spacing w:val="8"/>
          <w:sz w:val="29"/>
          <w:szCs w:val="29"/>
        </w:rPr>
        <w:t>用事业基金弥补收支差额</w:t>
      </w:r>
      <w:r>
        <w:rPr>
          <w:rFonts w:hint="eastAsia" w:ascii="仿宋" w:hAnsi="仿宋" w:eastAsia="仿宋" w:cs="仿宋"/>
          <w:spacing w:val="8"/>
          <w:sz w:val="29"/>
          <w:szCs w:val="29"/>
          <w:lang w:eastAsia="zh-CN"/>
        </w:rPr>
        <w:t>）</w:t>
      </w:r>
      <w:r>
        <w:rPr>
          <w:rFonts w:ascii="仿宋" w:hAnsi="仿宋" w:eastAsia="仿宋" w:cs="仿宋"/>
          <w:spacing w:val="8"/>
          <w:sz w:val="29"/>
          <w:szCs w:val="29"/>
        </w:rPr>
        <w:t>的数额。</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（六）</w:t>
      </w:r>
      <w:r>
        <w:rPr>
          <w:rFonts w:ascii="仿宋" w:hAnsi="仿宋" w:eastAsia="仿宋" w:cs="仿宋"/>
          <w:spacing w:val="8"/>
          <w:sz w:val="29"/>
          <w:szCs w:val="29"/>
        </w:rPr>
        <w:t>年初结转和结余</w:t>
      </w:r>
      <w:r>
        <w:rPr>
          <w:rFonts w:hint="eastAsia" w:ascii="仿宋" w:hAnsi="仿宋" w:eastAsia="仿宋" w:cs="仿宋"/>
          <w:spacing w:val="8"/>
          <w:sz w:val="29"/>
          <w:szCs w:val="29"/>
        </w:rPr>
        <w:t>：</w:t>
      </w:r>
      <w:r>
        <w:rPr>
          <w:rFonts w:ascii="仿宋" w:hAnsi="仿宋" w:eastAsia="仿宋" w:cs="仿宋"/>
          <w:spacing w:val="8"/>
          <w:sz w:val="29"/>
          <w:szCs w:val="29"/>
        </w:rPr>
        <w:t>填列上年全部结转和结余的资金数，包括当年结转结余资金和历年滚存结转结余资金。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二、支出科目</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rPr>
        <w:t>（</w:t>
      </w:r>
      <w:r>
        <w:rPr>
          <w:rFonts w:hint="eastAsia" w:ascii="仿宋" w:hAnsi="仿宋" w:eastAsia="仿宋" w:cs="仿宋"/>
          <w:spacing w:val="4"/>
          <w:sz w:val="29"/>
          <w:szCs w:val="29"/>
          <w:lang w:val="en-US" w:eastAsia="zh-CN"/>
        </w:rPr>
        <w:t>一</w:t>
      </w:r>
      <w:r>
        <w:rPr>
          <w:rFonts w:hint="eastAsia" w:ascii="仿宋" w:hAnsi="仿宋" w:eastAsia="仿宋" w:cs="仿宋"/>
          <w:spacing w:val="4"/>
          <w:sz w:val="29"/>
          <w:szCs w:val="29"/>
        </w:rPr>
        <w:t>）</w:t>
      </w:r>
      <w:r>
        <w:rPr>
          <w:rFonts w:ascii="仿宋" w:hAnsi="仿宋" w:eastAsia="仿宋" w:cs="仿宋"/>
          <w:spacing w:val="5"/>
          <w:sz w:val="29"/>
          <w:szCs w:val="29"/>
        </w:rPr>
        <w:t>社会保障和就业支出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类</w:t>
      </w:r>
      <w:r>
        <w:rPr>
          <w:rFonts w:hint="eastAsia" w:ascii="仿宋" w:hAnsi="仿宋" w:eastAsia="仿宋" w:cs="仿宋"/>
          <w:spacing w:val="5"/>
          <w:sz w:val="29"/>
          <w:szCs w:val="29"/>
          <w:lang w:eastAsia="zh-CN"/>
        </w:rPr>
        <w:t>）</w:t>
      </w:r>
      <w:r>
        <w:rPr>
          <w:rFonts w:ascii="仿宋" w:hAnsi="仿宋" w:eastAsia="仿宋" w:cs="仿宋"/>
          <w:spacing w:val="5"/>
          <w:sz w:val="29"/>
          <w:szCs w:val="29"/>
        </w:rPr>
        <w:t>行政事业单位养老支出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款</w:t>
      </w:r>
      <w:r>
        <w:rPr>
          <w:rFonts w:hint="eastAsia" w:ascii="仿宋" w:hAnsi="仿宋" w:eastAsia="仿宋" w:cs="仿宋"/>
          <w:spacing w:val="5"/>
          <w:sz w:val="29"/>
          <w:szCs w:val="29"/>
          <w:lang w:eastAsia="zh-CN"/>
        </w:rPr>
        <w:t>）</w:t>
      </w:r>
      <w:r>
        <w:rPr>
          <w:rFonts w:ascii="仿宋" w:hAnsi="仿宋" w:eastAsia="仿宋" w:cs="仿宋"/>
          <w:spacing w:val="4"/>
          <w:sz w:val="29"/>
          <w:szCs w:val="29"/>
        </w:rPr>
        <w:t>机</w:t>
      </w:r>
      <w:r>
        <w:rPr>
          <w:rFonts w:ascii="仿宋" w:hAnsi="仿宋" w:eastAsia="仿宋" w:cs="仿宋"/>
          <w:spacing w:val="10"/>
          <w:sz w:val="29"/>
          <w:szCs w:val="29"/>
        </w:rPr>
        <w:t>关事业</w:t>
      </w:r>
      <w:r>
        <w:rPr>
          <w:rFonts w:ascii="仿宋" w:hAnsi="仿宋" w:eastAsia="仿宋" w:cs="仿宋"/>
          <w:spacing w:val="7"/>
          <w:sz w:val="29"/>
          <w:szCs w:val="29"/>
        </w:rPr>
        <w:t>单</w:t>
      </w:r>
      <w:r>
        <w:rPr>
          <w:rFonts w:ascii="仿宋" w:hAnsi="仿宋" w:eastAsia="仿宋" w:cs="仿宋"/>
          <w:spacing w:val="5"/>
          <w:sz w:val="29"/>
          <w:szCs w:val="29"/>
        </w:rPr>
        <w:t>位基本养老保险缴费支出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项</w:t>
      </w:r>
      <w:r>
        <w:rPr>
          <w:rFonts w:hint="eastAsia" w:ascii="仿宋" w:hAnsi="仿宋" w:eastAsia="仿宋" w:cs="仿宋"/>
          <w:spacing w:val="5"/>
          <w:sz w:val="29"/>
          <w:szCs w:val="29"/>
        </w:rPr>
        <w:t>）：</w:t>
      </w:r>
      <w:r>
        <w:rPr>
          <w:rFonts w:ascii="仿宋" w:hAnsi="仿宋" w:eastAsia="仿宋" w:cs="仿宋"/>
          <w:spacing w:val="5"/>
          <w:sz w:val="29"/>
          <w:szCs w:val="29"/>
        </w:rPr>
        <w:t>反映机关事业单位实</w:t>
      </w:r>
      <w:r>
        <w:rPr>
          <w:rFonts w:ascii="仿宋" w:hAnsi="仿宋" w:eastAsia="仿宋" w:cs="仿宋"/>
          <w:spacing w:val="16"/>
          <w:sz w:val="29"/>
          <w:szCs w:val="29"/>
        </w:rPr>
        <w:t>施养</w:t>
      </w:r>
      <w:r>
        <w:rPr>
          <w:rFonts w:ascii="仿宋" w:hAnsi="仿宋" w:eastAsia="仿宋" w:cs="仿宋"/>
          <w:spacing w:val="9"/>
          <w:sz w:val="29"/>
          <w:szCs w:val="29"/>
        </w:rPr>
        <w:t>老</w:t>
      </w:r>
      <w:r>
        <w:rPr>
          <w:rFonts w:ascii="仿宋" w:hAnsi="仿宋" w:eastAsia="仿宋" w:cs="仿宋"/>
          <w:spacing w:val="8"/>
          <w:sz w:val="29"/>
          <w:szCs w:val="29"/>
        </w:rPr>
        <w:t>保险制度由单位缴纳的基本养老保险费支出。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lang w:eastAsia="zh-CN"/>
        </w:rPr>
        <w:t>（</w:t>
      </w:r>
      <w:r>
        <w:rPr>
          <w:rFonts w:hint="eastAsia" w:ascii="仿宋" w:hAnsi="仿宋" w:eastAsia="仿宋" w:cs="仿宋"/>
          <w:spacing w:val="4"/>
          <w:sz w:val="29"/>
          <w:szCs w:val="29"/>
          <w:lang w:val="en-US" w:eastAsia="zh-CN"/>
        </w:rPr>
        <w:t>二</w:t>
      </w:r>
      <w:r>
        <w:rPr>
          <w:rFonts w:hint="eastAsia" w:ascii="仿宋" w:hAnsi="仿宋" w:eastAsia="仿宋" w:cs="仿宋"/>
          <w:spacing w:val="4"/>
          <w:sz w:val="29"/>
          <w:szCs w:val="29"/>
        </w:rPr>
        <w:t>）</w:t>
      </w:r>
      <w:r>
        <w:rPr>
          <w:rFonts w:ascii="仿宋" w:hAnsi="仿宋" w:eastAsia="仿宋" w:cs="仿宋"/>
          <w:spacing w:val="8"/>
          <w:sz w:val="29"/>
          <w:szCs w:val="29"/>
        </w:rPr>
        <w:t>卫生健康</w:t>
      </w:r>
      <w:r>
        <w:rPr>
          <w:rFonts w:ascii="仿宋" w:hAnsi="仿宋" w:eastAsia="仿宋" w:cs="仿宋"/>
          <w:spacing w:val="4"/>
          <w:sz w:val="29"/>
          <w:szCs w:val="29"/>
        </w:rPr>
        <w:t>支出</w:t>
      </w:r>
      <w:r>
        <w:rPr>
          <w:rFonts w:hint="eastAsia" w:ascii="仿宋" w:hAnsi="仿宋" w:eastAsia="仿宋" w:cs="仿宋"/>
          <w:spacing w:val="4"/>
          <w:sz w:val="29"/>
          <w:szCs w:val="29"/>
          <w:lang w:eastAsia="zh-CN"/>
        </w:rPr>
        <w:t>（</w:t>
      </w:r>
      <w:r>
        <w:rPr>
          <w:rFonts w:ascii="仿宋" w:hAnsi="仿宋" w:eastAsia="仿宋" w:cs="仿宋"/>
          <w:spacing w:val="4"/>
          <w:sz w:val="29"/>
          <w:szCs w:val="29"/>
        </w:rPr>
        <w:t>类</w:t>
      </w:r>
      <w:r>
        <w:rPr>
          <w:rFonts w:hint="eastAsia" w:ascii="仿宋" w:hAnsi="仿宋" w:eastAsia="仿宋" w:cs="仿宋"/>
          <w:spacing w:val="4"/>
          <w:sz w:val="29"/>
          <w:szCs w:val="29"/>
          <w:lang w:eastAsia="zh-CN"/>
        </w:rPr>
        <w:t>）</w:t>
      </w:r>
      <w:r>
        <w:rPr>
          <w:rFonts w:ascii="仿宋" w:hAnsi="仿宋" w:eastAsia="仿宋" w:cs="仿宋"/>
          <w:spacing w:val="4"/>
          <w:sz w:val="29"/>
          <w:szCs w:val="29"/>
        </w:rPr>
        <w:t>公立医院</w:t>
      </w:r>
      <w:r>
        <w:rPr>
          <w:rFonts w:hint="eastAsia" w:ascii="仿宋" w:hAnsi="仿宋" w:eastAsia="仿宋" w:cs="仿宋"/>
          <w:spacing w:val="4"/>
          <w:sz w:val="29"/>
          <w:szCs w:val="29"/>
          <w:lang w:eastAsia="zh-CN"/>
        </w:rPr>
        <w:t>（</w:t>
      </w:r>
      <w:r>
        <w:rPr>
          <w:rFonts w:ascii="仿宋" w:hAnsi="仿宋" w:eastAsia="仿宋" w:cs="仿宋"/>
          <w:spacing w:val="4"/>
          <w:sz w:val="29"/>
          <w:szCs w:val="29"/>
        </w:rPr>
        <w:t>款</w:t>
      </w:r>
      <w:r>
        <w:rPr>
          <w:rFonts w:hint="eastAsia" w:ascii="仿宋" w:hAnsi="仿宋" w:eastAsia="仿宋" w:cs="仿宋"/>
          <w:spacing w:val="4"/>
          <w:sz w:val="29"/>
          <w:szCs w:val="29"/>
          <w:lang w:eastAsia="zh-CN"/>
        </w:rPr>
        <w:t>）</w:t>
      </w:r>
      <w:r>
        <w:rPr>
          <w:rFonts w:ascii="仿宋" w:hAnsi="仿宋" w:eastAsia="仿宋" w:cs="仿宋"/>
          <w:spacing w:val="4"/>
          <w:sz w:val="29"/>
          <w:szCs w:val="29"/>
        </w:rPr>
        <w:t>综合医院</w:t>
      </w:r>
      <w:r>
        <w:rPr>
          <w:rFonts w:hint="eastAsia" w:ascii="仿宋" w:hAnsi="仿宋" w:eastAsia="仿宋" w:cs="仿宋"/>
          <w:spacing w:val="4"/>
          <w:sz w:val="29"/>
          <w:szCs w:val="29"/>
          <w:lang w:eastAsia="zh-CN"/>
        </w:rPr>
        <w:t>（</w:t>
      </w:r>
      <w:r>
        <w:rPr>
          <w:rFonts w:ascii="仿宋" w:hAnsi="仿宋" w:eastAsia="仿宋" w:cs="仿宋"/>
          <w:spacing w:val="4"/>
          <w:sz w:val="29"/>
          <w:szCs w:val="29"/>
        </w:rPr>
        <w:t>项</w:t>
      </w:r>
      <w:r>
        <w:rPr>
          <w:rFonts w:hint="eastAsia" w:ascii="仿宋" w:hAnsi="仿宋" w:eastAsia="仿宋" w:cs="仿宋"/>
          <w:spacing w:val="4"/>
          <w:sz w:val="29"/>
          <w:szCs w:val="29"/>
          <w:lang w:eastAsia="zh-CN"/>
        </w:rPr>
        <w:t>）</w:t>
      </w:r>
      <w:r>
        <w:rPr>
          <w:rFonts w:hint="eastAsia" w:ascii="仿宋" w:hAnsi="仿宋" w:eastAsia="仿宋" w:cs="仿宋"/>
          <w:spacing w:val="4"/>
          <w:sz w:val="29"/>
          <w:szCs w:val="29"/>
        </w:rPr>
        <w:t>：</w:t>
      </w:r>
      <w:r>
        <w:rPr>
          <w:rFonts w:ascii="仿宋" w:hAnsi="仿宋" w:eastAsia="仿宋" w:cs="仿宋"/>
          <w:spacing w:val="4"/>
          <w:sz w:val="29"/>
          <w:szCs w:val="29"/>
        </w:rPr>
        <w:t>反映</w:t>
      </w:r>
      <w:r>
        <w:rPr>
          <w:rFonts w:ascii="仿宋" w:hAnsi="仿宋" w:eastAsia="仿宋" w:cs="仿宋"/>
          <w:spacing w:val="10"/>
          <w:sz w:val="29"/>
          <w:szCs w:val="29"/>
        </w:rPr>
        <w:t>卫生健康</w:t>
      </w:r>
      <w:r>
        <w:rPr>
          <w:rFonts w:ascii="仿宋" w:hAnsi="仿宋" w:eastAsia="仿宋" w:cs="仿宋"/>
          <w:spacing w:val="6"/>
          <w:sz w:val="29"/>
          <w:szCs w:val="29"/>
        </w:rPr>
        <w:t>、</w:t>
      </w:r>
      <w:r>
        <w:rPr>
          <w:rFonts w:ascii="仿宋" w:hAnsi="仿宋" w:eastAsia="仿宋" w:cs="仿宋"/>
          <w:spacing w:val="5"/>
          <w:sz w:val="29"/>
          <w:szCs w:val="29"/>
        </w:rPr>
        <w:t>中医部门所属的城市综合性医院、独立门诊、教学医</w:t>
      </w:r>
      <w:r>
        <w:rPr>
          <w:rFonts w:ascii="仿宋" w:hAnsi="仿宋" w:eastAsia="仿宋" w:cs="仿宋"/>
          <w:spacing w:val="11"/>
          <w:sz w:val="29"/>
          <w:szCs w:val="29"/>
        </w:rPr>
        <w:t>院</w:t>
      </w:r>
      <w:r>
        <w:rPr>
          <w:rFonts w:ascii="仿宋" w:hAnsi="仿宋" w:eastAsia="仿宋" w:cs="仿宋"/>
          <w:spacing w:val="7"/>
          <w:sz w:val="29"/>
          <w:szCs w:val="29"/>
        </w:rPr>
        <w:t>、疗养院和县医院的支出。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32" w:firstLineChars="200"/>
        <w:jc w:val="both"/>
        <w:textAlignment w:val="baseline"/>
      </w:pPr>
      <w:r>
        <w:rPr>
          <w:rFonts w:ascii="仿宋" w:hAnsi="仿宋" w:eastAsia="仿宋" w:cs="仿宋"/>
          <w:spacing w:val="-12"/>
          <w:sz w:val="29"/>
          <w:szCs w:val="29"/>
        </w:rPr>
        <w:t>卫生健康支出</w:t>
      </w:r>
      <w:r>
        <w:rPr>
          <w:rFonts w:hint="eastAsia" w:ascii="仿宋" w:hAnsi="仿宋" w:eastAsia="仿宋" w:cs="仿宋"/>
          <w:spacing w:val="-12"/>
          <w:sz w:val="29"/>
          <w:szCs w:val="29"/>
          <w:lang w:eastAsia="zh-CN"/>
        </w:rPr>
        <w:t>（</w:t>
      </w:r>
      <w:r>
        <w:rPr>
          <w:rFonts w:ascii="仿宋" w:hAnsi="仿宋" w:eastAsia="仿宋" w:cs="仿宋"/>
          <w:spacing w:val="-12"/>
          <w:sz w:val="29"/>
          <w:szCs w:val="29"/>
        </w:rPr>
        <w:t>类</w:t>
      </w:r>
      <w:r>
        <w:rPr>
          <w:rFonts w:hint="eastAsia" w:ascii="仿宋" w:hAnsi="仿宋" w:eastAsia="仿宋" w:cs="仿宋"/>
          <w:spacing w:val="-12"/>
          <w:sz w:val="29"/>
          <w:szCs w:val="29"/>
          <w:lang w:eastAsia="zh-CN"/>
        </w:rPr>
        <w:t>）</w:t>
      </w:r>
      <w:r>
        <w:rPr>
          <w:rFonts w:ascii="仿宋" w:hAnsi="仿宋" w:eastAsia="仿宋" w:cs="仿宋"/>
          <w:spacing w:val="-12"/>
          <w:sz w:val="29"/>
          <w:szCs w:val="29"/>
        </w:rPr>
        <w:t>行政事业单位医疗</w:t>
      </w:r>
      <w:r>
        <w:rPr>
          <w:rFonts w:hint="eastAsia" w:ascii="仿宋" w:hAnsi="仿宋" w:eastAsia="仿宋" w:cs="仿宋"/>
          <w:spacing w:val="-12"/>
          <w:sz w:val="29"/>
          <w:szCs w:val="29"/>
          <w:lang w:eastAsia="zh-CN"/>
        </w:rPr>
        <w:t>（</w:t>
      </w:r>
      <w:r>
        <w:rPr>
          <w:rFonts w:ascii="仿宋" w:hAnsi="仿宋" w:eastAsia="仿宋" w:cs="仿宋"/>
          <w:spacing w:val="-12"/>
          <w:sz w:val="29"/>
          <w:szCs w:val="29"/>
        </w:rPr>
        <w:t>款</w:t>
      </w:r>
      <w:r>
        <w:rPr>
          <w:rFonts w:hint="eastAsia" w:ascii="仿宋" w:hAnsi="仿宋" w:eastAsia="仿宋" w:cs="仿宋"/>
          <w:spacing w:val="-12"/>
          <w:sz w:val="29"/>
          <w:szCs w:val="29"/>
          <w:lang w:eastAsia="zh-CN"/>
        </w:rPr>
        <w:t>）</w:t>
      </w:r>
      <w:r>
        <w:rPr>
          <w:rFonts w:ascii="仿宋" w:hAnsi="仿宋" w:eastAsia="仿宋" w:cs="仿宋"/>
          <w:spacing w:val="-12"/>
          <w:sz w:val="29"/>
          <w:szCs w:val="29"/>
        </w:rPr>
        <w:t>事业单位医疗</w:t>
      </w:r>
      <w:r>
        <w:rPr>
          <w:rFonts w:hint="eastAsia" w:ascii="仿宋" w:hAnsi="仿宋" w:eastAsia="仿宋" w:cs="仿宋"/>
          <w:spacing w:val="-12"/>
          <w:sz w:val="29"/>
          <w:szCs w:val="29"/>
          <w:lang w:eastAsia="zh-CN"/>
        </w:rPr>
        <w:t>（</w:t>
      </w:r>
      <w:r>
        <w:rPr>
          <w:rFonts w:ascii="仿宋" w:hAnsi="仿宋" w:eastAsia="仿宋" w:cs="仿宋"/>
          <w:spacing w:val="-12"/>
          <w:sz w:val="29"/>
          <w:szCs w:val="29"/>
        </w:rPr>
        <w:t>项</w:t>
      </w:r>
      <w:r>
        <w:rPr>
          <w:rFonts w:hint="eastAsia" w:ascii="仿宋" w:hAnsi="仿宋" w:eastAsia="仿宋" w:cs="仿宋"/>
          <w:spacing w:val="-12"/>
          <w:sz w:val="29"/>
          <w:szCs w:val="29"/>
          <w:lang w:eastAsia="zh-CN"/>
        </w:rPr>
        <w:t>）</w:t>
      </w:r>
      <w:r>
        <w:rPr>
          <w:rFonts w:hint="eastAsia" w:ascii="仿宋" w:hAnsi="仿宋" w:eastAsia="仿宋" w:cs="仿宋"/>
          <w:spacing w:val="-12"/>
          <w:sz w:val="29"/>
          <w:szCs w:val="29"/>
        </w:rPr>
        <w:t>：</w:t>
      </w:r>
      <w:r>
        <w:rPr>
          <w:rFonts w:ascii="仿宋" w:hAnsi="仿宋" w:eastAsia="仿宋" w:cs="仿宋"/>
          <w:spacing w:val="-12"/>
          <w:sz w:val="29"/>
          <w:szCs w:val="29"/>
        </w:rPr>
        <w:t>反映财政部门集中安排的事业单位基本医疗保险缴费经</w:t>
      </w:r>
      <w:r>
        <w:rPr>
          <w:rFonts w:ascii="仿宋" w:hAnsi="仿宋" w:eastAsia="仿宋" w:cs="仿宋"/>
          <w:spacing w:val="10"/>
          <w:sz w:val="29"/>
          <w:szCs w:val="29"/>
        </w:rPr>
        <w:t>费，未</w:t>
      </w:r>
      <w:r>
        <w:rPr>
          <w:rFonts w:ascii="仿宋" w:hAnsi="仿宋" w:eastAsia="仿宋" w:cs="仿宋"/>
          <w:spacing w:val="6"/>
          <w:sz w:val="29"/>
          <w:szCs w:val="29"/>
        </w:rPr>
        <w:t>参</w:t>
      </w:r>
      <w:r>
        <w:rPr>
          <w:rFonts w:ascii="仿宋" w:hAnsi="仿宋" w:eastAsia="仿宋" w:cs="仿宋"/>
          <w:spacing w:val="5"/>
          <w:sz w:val="29"/>
          <w:szCs w:val="29"/>
        </w:rPr>
        <w:t>加医疗保险的事业单位的公费医疗经费，按国家规定享</w:t>
      </w:r>
      <w:r>
        <w:rPr>
          <w:rFonts w:ascii="仿宋" w:hAnsi="仿宋" w:eastAsia="仿宋" w:cs="仿宋"/>
          <w:spacing w:val="12"/>
          <w:sz w:val="29"/>
          <w:szCs w:val="29"/>
        </w:rPr>
        <w:t>受</w:t>
      </w:r>
      <w:r>
        <w:rPr>
          <w:rFonts w:ascii="仿宋" w:hAnsi="仿宋" w:eastAsia="仿宋" w:cs="仿宋"/>
          <w:spacing w:val="8"/>
          <w:sz w:val="29"/>
          <w:szCs w:val="29"/>
        </w:rPr>
        <w:t>离</w:t>
      </w:r>
      <w:r>
        <w:rPr>
          <w:rFonts w:ascii="仿宋" w:hAnsi="仿宋" w:eastAsia="仿宋" w:cs="仿宋"/>
          <w:spacing w:val="6"/>
          <w:sz w:val="29"/>
          <w:szCs w:val="29"/>
        </w:rPr>
        <w:t>休人员待遇的医疗经费。</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rPr>
        <w:t>（</w:t>
      </w:r>
      <w:r>
        <w:rPr>
          <w:rFonts w:hint="eastAsia" w:ascii="仿宋" w:hAnsi="仿宋" w:eastAsia="仿宋" w:cs="仿宋"/>
          <w:spacing w:val="4"/>
          <w:sz w:val="29"/>
          <w:szCs w:val="29"/>
          <w:lang w:val="en-US" w:eastAsia="zh-CN"/>
        </w:rPr>
        <w:t>三</w:t>
      </w:r>
      <w:r>
        <w:rPr>
          <w:rFonts w:hint="eastAsia" w:ascii="仿宋" w:hAnsi="仿宋" w:eastAsia="仿宋" w:cs="仿宋"/>
          <w:spacing w:val="4"/>
          <w:sz w:val="29"/>
          <w:szCs w:val="29"/>
        </w:rPr>
        <w:t>）</w:t>
      </w:r>
      <w:r>
        <w:rPr>
          <w:rFonts w:ascii="仿宋" w:hAnsi="仿宋" w:eastAsia="仿宋" w:cs="仿宋"/>
          <w:spacing w:val="9"/>
          <w:sz w:val="29"/>
          <w:szCs w:val="29"/>
        </w:rPr>
        <w:t>住房保障支出</w:t>
      </w:r>
      <w:r>
        <w:rPr>
          <w:rFonts w:hint="eastAsia" w:ascii="仿宋" w:hAnsi="仿宋" w:eastAsia="仿宋" w:cs="仿宋"/>
          <w:spacing w:val="9"/>
          <w:sz w:val="29"/>
          <w:szCs w:val="29"/>
          <w:lang w:eastAsia="zh-CN"/>
        </w:rPr>
        <w:t>（</w:t>
      </w:r>
      <w:r>
        <w:rPr>
          <w:rFonts w:ascii="仿宋" w:hAnsi="仿宋" w:eastAsia="仿宋" w:cs="仿宋"/>
          <w:spacing w:val="9"/>
          <w:sz w:val="29"/>
          <w:szCs w:val="29"/>
        </w:rPr>
        <w:t>类</w:t>
      </w:r>
      <w:r>
        <w:rPr>
          <w:rFonts w:hint="eastAsia" w:ascii="仿宋" w:hAnsi="仿宋" w:eastAsia="仿宋" w:cs="仿宋"/>
          <w:spacing w:val="9"/>
          <w:sz w:val="29"/>
          <w:szCs w:val="29"/>
        </w:rPr>
        <w:t>）</w:t>
      </w:r>
      <w:r>
        <w:rPr>
          <w:rFonts w:ascii="仿宋" w:hAnsi="仿宋" w:eastAsia="仿宋" w:cs="仿宋"/>
          <w:spacing w:val="9"/>
          <w:sz w:val="29"/>
          <w:szCs w:val="29"/>
        </w:rPr>
        <w:t>住房改革支出</w:t>
      </w:r>
      <w:r>
        <w:rPr>
          <w:rFonts w:hint="eastAsia" w:ascii="仿宋" w:hAnsi="仿宋" w:eastAsia="仿宋" w:cs="仿宋"/>
          <w:spacing w:val="9"/>
          <w:sz w:val="29"/>
          <w:szCs w:val="29"/>
          <w:lang w:eastAsia="zh-CN"/>
        </w:rPr>
        <w:t>（</w:t>
      </w:r>
      <w:r>
        <w:rPr>
          <w:rFonts w:ascii="仿宋" w:hAnsi="仿宋" w:eastAsia="仿宋" w:cs="仿宋"/>
          <w:spacing w:val="9"/>
          <w:sz w:val="29"/>
          <w:szCs w:val="29"/>
        </w:rPr>
        <w:t>款</w:t>
      </w:r>
      <w:r>
        <w:rPr>
          <w:rFonts w:hint="eastAsia" w:ascii="仿宋" w:hAnsi="仿宋" w:eastAsia="仿宋" w:cs="仿宋"/>
          <w:spacing w:val="9"/>
          <w:sz w:val="29"/>
          <w:szCs w:val="29"/>
          <w:lang w:eastAsia="zh-CN"/>
        </w:rPr>
        <w:t>）</w:t>
      </w:r>
      <w:r>
        <w:rPr>
          <w:rFonts w:ascii="仿宋" w:hAnsi="仿宋" w:eastAsia="仿宋" w:cs="仿宋"/>
          <w:spacing w:val="9"/>
          <w:sz w:val="29"/>
          <w:szCs w:val="29"/>
        </w:rPr>
        <w:t>住房公积金</w:t>
      </w:r>
      <w:r>
        <w:rPr>
          <w:rFonts w:hint="eastAsia" w:ascii="仿宋" w:hAnsi="仿宋" w:eastAsia="仿宋" w:cs="仿宋"/>
          <w:spacing w:val="9"/>
          <w:sz w:val="29"/>
          <w:szCs w:val="29"/>
          <w:lang w:eastAsia="zh-CN"/>
        </w:rPr>
        <w:t>（</w:t>
      </w:r>
      <w:r>
        <w:rPr>
          <w:rFonts w:ascii="仿宋" w:hAnsi="仿宋" w:eastAsia="仿宋" w:cs="仿宋"/>
          <w:spacing w:val="10"/>
          <w:sz w:val="29"/>
          <w:szCs w:val="29"/>
        </w:rPr>
        <w:t>项</w:t>
      </w:r>
      <w:r>
        <w:rPr>
          <w:rFonts w:hint="eastAsia" w:ascii="仿宋" w:hAnsi="仿宋" w:eastAsia="仿宋" w:cs="仿宋"/>
          <w:spacing w:val="10"/>
          <w:sz w:val="29"/>
          <w:szCs w:val="29"/>
        </w:rPr>
        <w:t>）：</w:t>
      </w:r>
      <w:r>
        <w:rPr>
          <w:rFonts w:ascii="仿宋" w:hAnsi="仿宋" w:eastAsia="仿宋" w:cs="仿宋"/>
          <w:spacing w:val="5"/>
          <w:sz w:val="29"/>
          <w:szCs w:val="29"/>
        </w:rPr>
        <w:t>反映行政事业单位按人力资源和社会保障部、财政部规</w:t>
      </w:r>
      <w:r>
        <w:rPr>
          <w:rFonts w:ascii="仿宋" w:hAnsi="仿宋" w:eastAsia="仿宋" w:cs="仿宋"/>
          <w:spacing w:val="17"/>
          <w:sz w:val="29"/>
          <w:szCs w:val="29"/>
        </w:rPr>
        <w:t>定的基本工资和津贴补贴以及规定比例为职工缴纳的住房公</w:t>
      </w:r>
      <w:r>
        <w:rPr>
          <w:rFonts w:ascii="仿宋" w:hAnsi="仿宋" w:eastAsia="仿宋" w:cs="仿宋"/>
          <w:spacing w:val="14"/>
          <w:sz w:val="29"/>
          <w:szCs w:val="29"/>
        </w:rPr>
        <w:t>积</w:t>
      </w:r>
      <w:r>
        <w:rPr>
          <w:rFonts w:ascii="仿宋" w:hAnsi="仿宋" w:eastAsia="仿宋" w:cs="仿宋"/>
          <w:spacing w:val="-5"/>
          <w:sz w:val="29"/>
          <w:szCs w:val="29"/>
        </w:rPr>
        <w:t>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三</w:t>
      </w:r>
      <w:r>
        <w:rPr>
          <w:rFonts w:hint="eastAsia" w:ascii="黑体" w:hAnsi="黑体" w:eastAsia="黑体" w:cs="黑体"/>
          <w:spacing w:val="14"/>
          <w:sz w:val="29"/>
          <w:szCs w:val="29"/>
        </w:rPr>
        <w:t>、</w:t>
      </w:r>
      <w:r>
        <w:rPr>
          <w:rFonts w:ascii="黑体" w:hAnsi="黑体" w:eastAsia="黑体" w:cs="黑体"/>
          <w:spacing w:val="14"/>
          <w:sz w:val="29"/>
          <w:szCs w:val="29"/>
        </w:rPr>
        <w:t>“三公”经费支出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20" w:firstLineChars="200"/>
        <w:jc w:val="both"/>
        <w:textAlignment w:val="baseline"/>
        <w:rPr>
          <w:rFonts w:ascii="仿宋" w:hAnsi="仿宋" w:eastAsia="仿宋" w:cs="仿宋"/>
          <w:sz w:val="29"/>
          <w:szCs w:val="29"/>
        </w:rPr>
      </w:pPr>
      <w:r>
        <w:rPr>
          <w:rFonts w:ascii="仿宋" w:hAnsi="仿宋" w:eastAsia="仿宋" w:cs="仿宋"/>
          <w:spacing w:val="10"/>
          <w:sz w:val="29"/>
          <w:szCs w:val="29"/>
        </w:rPr>
        <w:t>一般</w:t>
      </w:r>
      <w:r>
        <w:rPr>
          <w:rFonts w:ascii="仿宋" w:hAnsi="仿宋" w:eastAsia="仿宋" w:cs="仿宋"/>
          <w:spacing w:val="6"/>
          <w:sz w:val="29"/>
          <w:szCs w:val="29"/>
        </w:rPr>
        <w:t>公</w:t>
      </w:r>
      <w:r>
        <w:rPr>
          <w:rFonts w:ascii="仿宋" w:hAnsi="仿宋" w:eastAsia="仿宋" w:cs="仿宋"/>
          <w:spacing w:val="5"/>
          <w:sz w:val="29"/>
          <w:szCs w:val="29"/>
        </w:rPr>
        <w:t>共预算“三公”经费，是指部门用财政拨款安排的因</w:t>
      </w:r>
      <w:r>
        <w:rPr>
          <w:rFonts w:ascii="仿宋" w:hAnsi="仿宋" w:eastAsia="仿宋" w:cs="仿宋"/>
          <w:spacing w:val="12"/>
          <w:sz w:val="29"/>
          <w:szCs w:val="29"/>
        </w:rPr>
        <w:t>公出</w:t>
      </w:r>
      <w:r>
        <w:rPr>
          <w:rFonts w:ascii="仿宋" w:hAnsi="仿宋" w:eastAsia="仿宋" w:cs="仿宋"/>
          <w:spacing w:val="7"/>
          <w:sz w:val="29"/>
          <w:szCs w:val="29"/>
        </w:rPr>
        <w:t>国</w:t>
      </w:r>
      <w:r>
        <w:rPr>
          <w:rFonts w:hint="eastAsia" w:ascii="仿宋" w:hAnsi="仿宋" w:eastAsia="仿宋" w:cs="仿宋"/>
          <w:spacing w:val="7"/>
          <w:sz w:val="29"/>
          <w:szCs w:val="29"/>
          <w:lang w:eastAsia="zh-CN"/>
        </w:rPr>
        <w:t>（</w:t>
      </w:r>
      <w:r>
        <w:rPr>
          <w:rFonts w:ascii="仿宋" w:hAnsi="仿宋" w:eastAsia="仿宋" w:cs="仿宋"/>
          <w:spacing w:val="6"/>
          <w:sz w:val="29"/>
          <w:szCs w:val="29"/>
        </w:rPr>
        <w:t>境</w:t>
      </w:r>
      <w:r>
        <w:rPr>
          <w:rFonts w:hint="eastAsia" w:ascii="仿宋" w:hAnsi="仿宋" w:eastAsia="仿宋" w:cs="仿宋"/>
          <w:spacing w:val="6"/>
          <w:sz w:val="29"/>
          <w:szCs w:val="29"/>
          <w:lang w:eastAsia="zh-CN"/>
        </w:rPr>
        <w:t>）</w:t>
      </w:r>
      <w:r>
        <w:rPr>
          <w:rFonts w:ascii="仿宋" w:hAnsi="仿宋" w:eastAsia="仿宋" w:cs="仿宋"/>
          <w:spacing w:val="6"/>
          <w:sz w:val="29"/>
          <w:szCs w:val="29"/>
        </w:rPr>
        <w:t>费、公务用车购置及运行费和公务接待费。其中，</w:t>
      </w:r>
      <w:r>
        <w:rPr>
          <w:rFonts w:ascii="仿宋" w:hAnsi="仿宋" w:eastAsia="仿宋" w:cs="仿宋"/>
          <w:spacing w:val="10"/>
          <w:sz w:val="29"/>
          <w:szCs w:val="29"/>
        </w:rPr>
        <w:t>因</w:t>
      </w:r>
      <w:r>
        <w:rPr>
          <w:rFonts w:ascii="仿宋" w:hAnsi="仿宋" w:eastAsia="仿宋" w:cs="仿宋"/>
          <w:spacing w:val="6"/>
          <w:sz w:val="29"/>
          <w:szCs w:val="29"/>
        </w:rPr>
        <w:t>公</w:t>
      </w:r>
      <w:r>
        <w:rPr>
          <w:rFonts w:ascii="仿宋" w:hAnsi="仿宋" w:eastAsia="仿宋" w:cs="仿宋"/>
          <w:spacing w:val="5"/>
          <w:sz w:val="29"/>
          <w:szCs w:val="29"/>
        </w:rPr>
        <w:t>出国</w:t>
      </w:r>
      <w:r>
        <w:rPr>
          <w:rFonts w:hint="eastAsia" w:ascii="仿宋" w:hAnsi="仿宋" w:eastAsia="仿宋" w:cs="仿宋"/>
          <w:spacing w:val="5"/>
          <w:sz w:val="29"/>
          <w:szCs w:val="29"/>
          <w:lang w:eastAsia="zh-CN"/>
        </w:rPr>
        <w:t>（</w:t>
      </w:r>
      <w:r>
        <w:rPr>
          <w:rFonts w:ascii="仿宋" w:hAnsi="仿宋" w:eastAsia="仿宋" w:cs="仿宋"/>
          <w:spacing w:val="5"/>
          <w:sz w:val="29"/>
          <w:szCs w:val="29"/>
        </w:rPr>
        <w:t>境</w:t>
      </w:r>
      <w:r>
        <w:rPr>
          <w:rFonts w:hint="eastAsia" w:ascii="仿宋" w:hAnsi="仿宋" w:eastAsia="仿宋" w:cs="仿宋"/>
          <w:spacing w:val="5"/>
          <w:sz w:val="29"/>
          <w:szCs w:val="29"/>
          <w:lang w:eastAsia="zh-CN"/>
        </w:rPr>
        <w:t>）</w:t>
      </w:r>
      <w:r>
        <w:rPr>
          <w:rFonts w:ascii="仿宋" w:hAnsi="仿宋" w:eastAsia="仿宋" w:cs="仿宋"/>
          <w:spacing w:val="5"/>
          <w:sz w:val="29"/>
          <w:szCs w:val="29"/>
        </w:rPr>
        <w:t>费反映单位公务出国</w:t>
      </w:r>
      <w:r>
        <w:rPr>
          <w:rFonts w:hint="eastAsia" w:ascii="仿宋" w:hAnsi="仿宋" w:eastAsia="仿宋" w:cs="仿宋"/>
          <w:spacing w:val="5"/>
          <w:sz w:val="29"/>
          <w:szCs w:val="29"/>
          <w:lang w:eastAsia="zh-CN"/>
        </w:rPr>
        <w:t>（</w:t>
      </w:r>
      <w:r>
        <w:rPr>
          <w:rFonts w:ascii="仿宋" w:hAnsi="仿宋" w:eastAsia="仿宋" w:cs="仿宋"/>
          <w:spacing w:val="5"/>
          <w:sz w:val="29"/>
          <w:szCs w:val="29"/>
        </w:rPr>
        <w:t>境</w:t>
      </w:r>
      <w:r>
        <w:rPr>
          <w:rFonts w:hint="eastAsia" w:ascii="仿宋" w:hAnsi="仿宋" w:eastAsia="仿宋" w:cs="仿宋"/>
          <w:spacing w:val="5"/>
          <w:sz w:val="29"/>
          <w:szCs w:val="29"/>
          <w:lang w:eastAsia="zh-CN"/>
        </w:rPr>
        <w:t>）</w:t>
      </w:r>
      <w:r>
        <w:rPr>
          <w:rFonts w:ascii="仿宋" w:hAnsi="仿宋" w:eastAsia="仿宋" w:cs="仿宋"/>
          <w:spacing w:val="5"/>
          <w:sz w:val="29"/>
          <w:szCs w:val="29"/>
        </w:rPr>
        <w:t>的国际旅费、国外城</w:t>
      </w:r>
      <w:r>
        <w:rPr>
          <w:rFonts w:ascii="仿宋" w:hAnsi="仿宋" w:eastAsia="仿宋" w:cs="仿宋"/>
          <w:spacing w:val="6"/>
          <w:sz w:val="29"/>
          <w:szCs w:val="29"/>
        </w:rPr>
        <w:t>市间交通费、住宿费、伙食费、培训费、公杂费等支出；公务</w:t>
      </w:r>
      <w:r>
        <w:rPr>
          <w:rFonts w:ascii="仿宋" w:hAnsi="仿宋" w:eastAsia="仿宋" w:cs="仿宋"/>
          <w:spacing w:val="4"/>
          <w:sz w:val="29"/>
          <w:szCs w:val="29"/>
        </w:rPr>
        <w:t>用</w:t>
      </w:r>
      <w:r>
        <w:rPr>
          <w:rFonts w:ascii="仿宋" w:hAnsi="仿宋" w:eastAsia="仿宋" w:cs="仿宋"/>
          <w:spacing w:val="14"/>
          <w:sz w:val="29"/>
          <w:szCs w:val="29"/>
        </w:rPr>
        <w:t>车</w:t>
      </w:r>
      <w:r>
        <w:rPr>
          <w:rFonts w:ascii="仿宋" w:hAnsi="仿宋" w:eastAsia="仿宋" w:cs="仿宋"/>
          <w:spacing w:val="11"/>
          <w:sz w:val="29"/>
          <w:szCs w:val="29"/>
        </w:rPr>
        <w:t>购置及运行经费反映单位公务用车车辆购置支出</w:t>
      </w:r>
      <w:r>
        <w:rPr>
          <w:rFonts w:hint="eastAsia" w:ascii="仿宋" w:hAnsi="仿宋" w:eastAsia="仿宋" w:cs="仿宋"/>
          <w:spacing w:val="11"/>
          <w:sz w:val="29"/>
          <w:szCs w:val="29"/>
          <w:lang w:eastAsia="zh-CN"/>
        </w:rPr>
        <w:t>（</w:t>
      </w:r>
      <w:r>
        <w:rPr>
          <w:rFonts w:ascii="仿宋" w:hAnsi="仿宋" w:eastAsia="仿宋" w:cs="仿宋"/>
          <w:spacing w:val="11"/>
          <w:sz w:val="29"/>
          <w:szCs w:val="29"/>
        </w:rPr>
        <w:t>含车辆购置</w:t>
      </w:r>
      <w:r>
        <w:rPr>
          <w:rFonts w:ascii="仿宋" w:hAnsi="仿宋" w:eastAsia="仿宋" w:cs="仿宋"/>
          <w:spacing w:val="10"/>
          <w:sz w:val="29"/>
          <w:szCs w:val="29"/>
        </w:rPr>
        <w:t>税</w:t>
      </w:r>
      <w:r>
        <w:rPr>
          <w:rFonts w:hint="eastAsia" w:ascii="仿宋" w:hAnsi="仿宋" w:eastAsia="仿宋" w:cs="仿宋"/>
          <w:spacing w:val="10"/>
          <w:sz w:val="29"/>
          <w:szCs w:val="29"/>
          <w:lang w:eastAsia="zh-CN"/>
        </w:rPr>
        <w:t>）</w:t>
      </w:r>
      <w:r>
        <w:rPr>
          <w:rFonts w:ascii="仿宋" w:hAnsi="仿宋" w:eastAsia="仿宋" w:cs="仿宋"/>
          <w:spacing w:val="10"/>
          <w:sz w:val="29"/>
          <w:szCs w:val="29"/>
        </w:rPr>
        <w:t>及</w:t>
      </w:r>
      <w:r>
        <w:rPr>
          <w:rFonts w:ascii="仿宋" w:hAnsi="仿宋" w:eastAsia="仿宋" w:cs="仿宋"/>
          <w:spacing w:val="6"/>
          <w:sz w:val="29"/>
          <w:szCs w:val="29"/>
        </w:rPr>
        <w:t>租</w:t>
      </w:r>
      <w:r>
        <w:rPr>
          <w:rFonts w:ascii="仿宋" w:hAnsi="仿宋" w:eastAsia="仿宋" w:cs="仿宋"/>
          <w:spacing w:val="5"/>
          <w:sz w:val="29"/>
          <w:szCs w:val="29"/>
        </w:rPr>
        <w:t>用费、燃料费、维修费、过路过桥费、保险费、安全奖</w:t>
      </w:r>
      <w:r>
        <w:rPr>
          <w:rFonts w:ascii="仿宋" w:hAnsi="仿宋" w:eastAsia="仿宋" w:cs="仿宋"/>
          <w:spacing w:val="6"/>
          <w:sz w:val="29"/>
          <w:szCs w:val="29"/>
        </w:rPr>
        <w:t>励费用等支出；公务接待费反映单位按规定开支的各类公务接</w:t>
      </w:r>
      <w:r>
        <w:rPr>
          <w:rFonts w:ascii="仿宋" w:hAnsi="仿宋" w:eastAsia="仿宋" w:cs="仿宋"/>
          <w:spacing w:val="4"/>
          <w:sz w:val="29"/>
          <w:szCs w:val="29"/>
        </w:rPr>
        <w:t>待</w:t>
      </w:r>
      <w:r>
        <w:rPr>
          <w:rFonts w:hint="eastAsia" w:ascii="仿宋" w:hAnsi="仿宋" w:eastAsia="仿宋" w:cs="仿宋"/>
          <w:spacing w:val="4"/>
          <w:sz w:val="29"/>
          <w:szCs w:val="29"/>
          <w:lang w:eastAsia="zh-CN"/>
        </w:rPr>
        <w:t>（</w:t>
      </w:r>
      <w:r>
        <w:rPr>
          <w:rFonts w:ascii="仿宋" w:hAnsi="仿宋" w:eastAsia="仿宋" w:cs="仿宋"/>
          <w:spacing w:val="6"/>
          <w:sz w:val="29"/>
          <w:szCs w:val="29"/>
        </w:rPr>
        <w:t>含外宾接待</w:t>
      </w:r>
      <w:r>
        <w:rPr>
          <w:rFonts w:hint="eastAsia" w:ascii="仿宋" w:hAnsi="仿宋" w:eastAsia="仿宋" w:cs="仿宋"/>
          <w:spacing w:val="6"/>
          <w:sz w:val="29"/>
          <w:szCs w:val="29"/>
          <w:lang w:eastAsia="zh-CN"/>
        </w:rPr>
        <w:t>）</w:t>
      </w:r>
      <w:r>
        <w:rPr>
          <w:rFonts w:ascii="仿宋" w:hAnsi="仿宋" w:eastAsia="仿宋" w:cs="仿宋"/>
          <w:spacing w:val="6"/>
          <w:sz w:val="29"/>
          <w:szCs w:val="29"/>
        </w:rPr>
        <w:t>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hint="eastAsia" w:ascii="黑体" w:hAnsi="黑体" w:eastAsia="黑体" w:cs="黑体"/>
          <w:spacing w:val="14"/>
          <w:sz w:val="29"/>
          <w:szCs w:val="29"/>
          <w:lang w:val="en-US" w:eastAsia="zh-CN"/>
        </w:rPr>
      </w:pPr>
      <w:r>
        <w:rPr>
          <w:rFonts w:ascii="黑体" w:hAnsi="黑体" w:eastAsia="黑体" w:cs="黑体"/>
          <w:spacing w:val="14"/>
          <w:sz w:val="29"/>
          <w:szCs w:val="29"/>
        </w:rPr>
        <w:t>四、机关运行经费</w:t>
      </w:r>
      <w:r>
        <w:rPr>
          <w:rFonts w:hint="eastAsia" w:ascii="黑体" w:hAnsi="黑体" w:eastAsia="黑体" w:cs="黑体"/>
          <w:spacing w:val="14"/>
          <w:sz w:val="29"/>
          <w:szCs w:val="29"/>
          <w:lang w:val="en-US" w:eastAsia="zh-CN"/>
        </w:rPr>
        <w:t>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本单位无机关运行经费支出。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0" w:firstLineChars="200"/>
        <w:jc w:val="both"/>
        <w:textAlignment w:val="baseline"/>
        <w:rPr>
          <w:rFonts w:hint="default" w:ascii="仿宋" w:hAnsi="仿宋" w:eastAsia="仿宋" w:cs="仿宋"/>
          <w:spacing w:val="5"/>
          <w:sz w:val="29"/>
          <w:szCs w:val="29"/>
          <w:lang w:val="en-US" w:eastAsia="zh-CN"/>
        </w:rPr>
      </w:pP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p>
    <w:sectPr>
      <w:pgSz w:w="11906" w:h="16839"/>
      <w:pgMar w:top="1440" w:right="1706" w:bottom="1440" w:left="1800" w:header="0" w:footer="104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val="0"/>
                            <w:wordWrap/>
                            <w:overflowPunct/>
                            <w:topLinePunct w:val="0"/>
                            <w:autoSpaceDE w:val="0"/>
                            <w:autoSpaceDN w:val="0"/>
                            <w:bidi w:val="0"/>
                            <w:adjustRightInd w:val="0"/>
                            <w:snapToGrid w:val="0"/>
                            <w:ind w:left="420" w:lef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kinsoku w:val="0"/>
                      <w:wordWrap/>
                      <w:overflowPunct/>
                      <w:topLinePunct w:val="0"/>
                      <w:autoSpaceDE w:val="0"/>
                      <w:autoSpaceDN w:val="0"/>
                      <w:bidi w:val="0"/>
                      <w:adjustRightInd w:val="0"/>
                      <w:snapToGrid w:val="0"/>
                      <w:ind w:left="420" w:lef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18DC5D"/>
    <w:multiLevelType w:val="singleLevel"/>
    <w:tmpl w:val="F218DC5D"/>
    <w:lvl w:ilvl="0" w:tentative="0">
      <w:start w:val="2"/>
      <w:numFmt w:val="chineseCounting"/>
      <w:suff w:val="space"/>
      <w:lvlText w:val="第%1部分"/>
      <w:lvlJc w:val="left"/>
      <w:rPr>
        <w:rFonts w:hint="eastAsia"/>
      </w:rPr>
    </w:lvl>
  </w:abstractNum>
  <w:abstractNum w:abstractNumId="1">
    <w:nsid w:val="F3F531CA"/>
    <w:multiLevelType w:val="singleLevel"/>
    <w:tmpl w:val="F3F531CA"/>
    <w:lvl w:ilvl="0" w:tentative="0">
      <w:start w:val="2"/>
      <w:numFmt w:val="chineseCounting"/>
      <w:suff w:val="nothing"/>
      <w:lvlText w:val="（%1）"/>
      <w:lvlJc w:val="left"/>
      <w:rPr>
        <w:rFonts w:hint="eastAsia"/>
      </w:rPr>
    </w:lvl>
  </w:abstractNum>
  <w:abstractNum w:abstractNumId="2">
    <w:nsid w:val="5B28BA7B"/>
    <w:multiLevelType w:val="singleLevel"/>
    <w:tmpl w:val="5B28BA7B"/>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evenAndOddHeaders w:val="1"/>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2ViNTE3OGM1NjM2YWNjZWFlYzQ2N2Q1ZjkxYmVmZTgifQ=="/>
  </w:docVars>
  <w:rsids>
    <w:rsidRoot w:val="00172A27"/>
    <w:rsid w:val="00010F52"/>
    <w:rsid w:val="00047938"/>
    <w:rsid w:val="00107ED5"/>
    <w:rsid w:val="00172A27"/>
    <w:rsid w:val="001C7B4D"/>
    <w:rsid w:val="00235B28"/>
    <w:rsid w:val="00240D0A"/>
    <w:rsid w:val="00296E55"/>
    <w:rsid w:val="00381551"/>
    <w:rsid w:val="003F34AE"/>
    <w:rsid w:val="00405D4A"/>
    <w:rsid w:val="004F4CC7"/>
    <w:rsid w:val="00526611"/>
    <w:rsid w:val="00534848"/>
    <w:rsid w:val="005C6F72"/>
    <w:rsid w:val="006244B8"/>
    <w:rsid w:val="00630AB3"/>
    <w:rsid w:val="006F4892"/>
    <w:rsid w:val="00745D9A"/>
    <w:rsid w:val="008677FB"/>
    <w:rsid w:val="0091480A"/>
    <w:rsid w:val="00951140"/>
    <w:rsid w:val="009C154F"/>
    <w:rsid w:val="009D2CB4"/>
    <w:rsid w:val="00A2042F"/>
    <w:rsid w:val="00BC2271"/>
    <w:rsid w:val="00C13A19"/>
    <w:rsid w:val="00DE7F18"/>
    <w:rsid w:val="00ED3BD8"/>
    <w:rsid w:val="00F134D2"/>
    <w:rsid w:val="00F372E0"/>
    <w:rsid w:val="00FE5367"/>
    <w:rsid w:val="011B6997"/>
    <w:rsid w:val="017B3FF0"/>
    <w:rsid w:val="018D5339"/>
    <w:rsid w:val="01EB0A6D"/>
    <w:rsid w:val="020E256F"/>
    <w:rsid w:val="022E6257"/>
    <w:rsid w:val="0250441F"/>
    <w:rsid w:val="025C0594"/>
    <w:rsid w:val="02931AEB"/>
    <w:rsid w:val="02A14C7A"/>
    <w:rsid w:val="02AE1145"/>
    <w:rsid w:val="02D53424"/>
    <w:rsid w:val="02D76C9A"/>
    <w:rsid w:val="02DE5ECF"/>
    <w:rsid w:val="02EE3DC3"/>
    <w:rsid w:val="034A70C0"/>
    <w:rsid w:val="038D51FF"/>
    <w:rsid w:val="039F6B01"/>
    <w:rsid w:val="03C2759E"/>
    <w:rsid w:val="03DB41BC"/>
    <w:rsid w:val="0436392E"/>
    <w:rsid w:val="047A095E"/>
    <w:rsid w:val="050C7085"/>
    <w:rsid w:val="053F1EE7"/>
    <w:rsid w:val="054A1E11"/>
    <w:rsid w:val="05CD5B6D"/>
    <w:rsid w:val="061E566D"/>
    <w:rsid w:val="06500E91"/>
    <w:rsid w:val="065632AA"/>
    <w:rsid w:val="065A6B01"/>
    <w:rsid w:val="06732DD2"/>
    <w:rsid w:val="06DC344F"/>
    <w:rsid w:val="06F7755F"/>
    <w:rsid w:val="074D717F"/>
    <w:rsid w:val="078F59E9"/>
    <w:rsid w:val="0796338F"/>
    <w:rsid w:val="07BB67DE"/>
    <w:rsid w:val="07C7737A"/>
    <w:rsid w:val="082275C8"/>
    <w:rsid w:val="082500FC"/>
    <w:rsid w:val="089808CE"/>
    <w:rsid w:val="08A62AB0"/>
    <w:rsid w:val="08CD362D"/>
    <w:rsid w:val="08CE06CD"/>
    <w:rsid w:val="08DB71DA"/>
    <w:rsid w:val="08F23DFD"/>
    <w:rsid w:val="091B505B"/>
    <w:rsid w:val="097F5012"/>
    <w:rsid w:val="09C33F12"/>
    <w:rsid w:val="09C6146A"/>
    <w:rsid w:val="0A0F6EAE"/>
    <w:rsid w:val="0A193C90"/>
    <w:rsid w:val="0A314B36"/>
    <w:rsid w:val="0A3568AA"/>
    <w:rsid w:val="0A753A8F"/>
    <w:rsid w:val="0A8C423C"/>
    <w:rsid w:val="0BA17A99"/>
    <w:rsid w:val="0C0D539C"/>
    <w:rsid w:val="0C142961"/>
    <w:rsid w:val="0C590049"/>
    <w:rsid w:val="0C9C5295"/>
    <w:rsid w:val="0CA57A5D"/>
    <w:rsid w:val="0CC11E18"/>
    <w:rsid w:val="0D417786"/>
    <w:rsid w:val="0D5B15A0"/>
    <w:rsid w:val="0D7E46DF"/>
    <w:rsid w:val="0D7E5322"/>
    <w:rsid w:val="0D8633EB"/>
    <w:rsid w:val="0D8D29CB"/>
    <w:rsid w:val="0DD45E8C"/>
    <w:rsid w:val="0E1501EC"/>
    <w:rsid w:val="0E697769"/>
    <w:rsid w:val="0EB931CD"/>
    <w:rsid w:val="0F176605"/>
    <w:rsid w:val="0F606D5A"/>
    <w:rsid w:val="0FAE1D76"/>
    <w:rsid w:val="0FC30926"/>
    <w:rsid w:val="0FCE72CB"/>
    <w:rsid w:val="0FDA2968"/>
    <w:rsid w:val="100C1B19"/>
    <w:rsid w:val="10163C71"/>
    <w:rsid w:val="102B4B77"/>
    <w:rsid w:val="10372687"/>
    <w:rsid w:val="10415ABF"/>
    <w:rsid w:val="10507CE0"/>
    <w:rsid w:val="10853AAC"/>
    <w:rsid w:val="108669D3"/>
    <w:rsid w:val="10AB3168"/>
    <w:rsid w:val="10AB5538"/>
    <w:rsid w:val="10D206F5"/>
    <w:rsid w:val="10F3513F"/>
    <w:rsid w:val="11102887"/>
    <w:rsid w:val="119E6C5E"/>
    <w:rsid w:val="11B358C2"/>
    <w:rsid w:val="11BC2035"/>
    <w:rsid w:val="11C9395F"/>
    <w:rsid w:val="11DA5AB3"/>
    <w:rsid w:val="121C431D"/>
    <w:rsid w:val="122E5DFF"/>
    <w:rsid w:val="123B0AC1"/>
    <w:rsid w:val="127E0B34"/>
    <w:rsid w:val="12A7327F"/>
    <w:rsid w:val="12AC2FA1"/>
    <w:rsid w:val="12C7222E"/>
    <w:rsid w:val="12DE7825"/>
    <w:rsid w:val="12F54C0B"/>
    <w:rsid w:val="13146524"/>
    <w:rsid w:val="135176E2"/>
    <w:rsid w:val="140324DF"/>
    <w:rsid w:val="141C5055"/>
    <w:rsid w:val="146975C2"/>
    <w:rsid w:val="15205ED3"/>
    <w:rsid w:val="153656F6"/>
    <w:rsid w:val="1542403C"/>
    <w:rsid w:val="15603A94"/>
    <w:rsid w:val="157170C5"/>
    <w:rsid w:val="15DB5826"/>
    <w:rsid w:val="16295486"/>
    <w:rsid w:val="166A3F1F"/>
    <w:rsid w:val="16701433"/>
    <w:rsid w:val="169C5A2D"/>
    <w:rsid w:val="16CA07EC"/>
    <w:rsid w:val="17B552A6"/>
    <w:rsid w:val="18041ADC"/>
    <w:rsid w:val="184270FB"/>
    <w:rsid w:val="18C17029"/>
    <w:rsid w:val="18C66D91"/>
    <w:rsid w:val="1A1755C5"/>
    <w:rsid w:val="1A204DD3"/>
    <w:rsid w:val="1A206945"/>
    <w:rsid w:val="1AE259D8"/>
    <w:rsid w:val="1AEF6C37"/>
    <w:rsid w:val="1AFF47DC"/>
    <w:rsid w:val="1B46065D"/>
    <w:rsid w:val="1B675368"/>
    <w:rsid w:val="1B966EEF"/>
    <w:rsid w:val="1BDE2644"/>
    <w:rsid w:val="1C183DA8"/>
    <w:rsid w:val="1CB37E88"/>
    <w:rsid w:val="1D0543BD"/>
    <w:rsid w:val="1D490673"/>
    <w:rsid w:val="1DC60C03"/>
    <w:rsid w:val="1E9208A9"/>
    <w:rsid w:val="1EBB4EBE"/>
    <w:rsid w:val="1EE53CE9"/>
    <w:rsid w:val="1F12101C"/>
    <w:rsid w:val="1F3C7DAD"/>
    <w:rsid w:val="1F483AC0"/>
    <w:rsid w:val="1FA45952"/>
    <w:rsid w:val="1FC13D7D"/>
    <w:rsid w:val="200A7EAB"/>
    <w:rsid w:val="201B5C14"/>
    <w:rsid w:val="20AC7BB4"/>
    <w:rsid w:val="21053A70"/>
    <w:rsid w:val="212C3222"/>
    <w:rsid w:val="215320BC"/>
    <w:rsid w:val="217557F8"/>
    <w:rsid w:val="21907D9E"/>
    <w:rsid w:val="22516416"/>
    <w:rsid w:val="225C2514"/>
    <w:rsid w:val="22E76153"/>
    <w:rsid w:val="23160915"/>
    <w:rsid w:val="23310EED"/>
    <w:rsid w:val="238F04F9"/>
    <w:rsid w:val="240D3BB6"/>
    <w:rsid w:val="24556552"/>
    <w:rsid w:val="247F5F22"/>
    <w:rsid w:val="249754FF"/>
    <w:rsid w:val="249C4E4A"/>
    <w:rsid w:val="2560231B"/>
    <w:rsid w:val="25965427"/>
    <w:rsid w:val="25BE2B9A"/>
    <w:rsid w:val="25DA0141"/>
    <w:rsid w:val="25E42F4C"/>
    <w:rsid w:val="262728CA"/>
    <w:rsid w:val="26971D6D"/>
    <w:rsid w:val="26E1052C"/>
    <w:rsid w:val="26FB469F"/>
    <w:rsid w:val="270F5DA7"/>
    <w:rsid w:val="27FF0DC4"/>
    <w:rsid w:val="281C6CB4"/>
    <w:rsid w:val="28425D08"/>
    <w:rsid w:val="28722C7A"/>
    <w:rsid w:val="28737730"/>
    <w:rsid w:val="28783C48"/>
    <w:rsid w:val="291E0523"/>
    <w:rsid w:val="29245D79"/>
    <w:rsid w:val="29467535"/>
    <w:rsid w:val="299627B0"/>
    <w:rsid w:val="29A70519"/>
    <w:rsid w:val="29F01EC0"/>
    <w:rsid w:val="2A133E00"/>
    <w:rsid w:val="2A554419"/>
    <w:rsid w:val="2A9B72D8"/>
    <w:rsid w:val="2AB4113F"/>
    <w:rsid w:val="2B527FA4"/>
    <w:rsid w:val="2B751F2E"/>
    <w:rsid w:val="2BD82C0B"/>
    <w:rsid w:val="2BDC32CB"/>
    <w:rsid w:val="2C22032B"/>
    <w:rsid w:val="2C2B791A"/>
    <w:rsid w:val="2C7A1F15"/>
    <w:rsid w:val="2CF5796E"/>
    <w:rsid w:val="2D2916FA"/>
    <w:rsid w:val="2D6C19D1"/>
    <w:rsid w:val="2DDD5851"/>
    <w:rsid w:val="2DEE5136"/>
    <w:rsid w:val="2E0B4157"/>
    <w:rsid w:val="2E176A30"/>
    <w:rsid w:val="2E1F6C07"/>
    <w:rsid w:val="2F507906"/>
    <w:rsid w:val="2F634EE2"/>
    <w:rsid w:val="2F7D22C4"/>
    <w:rsid w:val="2FA50736"/>
    <w:rsid w:val="2FD82C01"/>
    <w:rsid w:val="30903BD6"/>
    <w:rsid w:val="3091782D"/>
    <w:rsid w:val="30DE1E72"/>
    <w:rsid w:val="313C1E8F"/>
    <w:rsid w:val="31583D38"/>
    <w:rsid w:val="31BA5FE6"/>
    <w:rsid w:val="3219129B"/>
    <w:rsid w:val="322363A0"/>
    <w:rsid w:val="32821B23"/>
    <w:rsid w:val="32B1215D"/>
    <w:rsid w:val="32CD29A0"/>
    <w:rsid w:val="3352263A"/>
    <w:rsid w:val="33A1422B"/>
    <w:rsid w:val="33D32CA9"/>
    <w:rsid w:val="34763666"/>
    <w:rsid w:val="34A11832"/>
    <w:rsid w:val="34EE16F2"/>
    <w:rsid w:val="351849C1"/>
    <w:rsid w:val="35887450"/>
    <w:rsid w:val="35A00207"/>
    <w:rsid w:val="35B46EDE"/>
    <w:rsid w:val="35E26F8D"/>
    <w:rsid w:val="3619454C"/>
    <w:rsid w:val="362F5B1E"/>
    <w:rsid w:val="363D46DF"/>
    <w:rsid w:val="363F763E"/>
    <w:rsid w:val="36971EB1"/>
    <w:rsid w:val="36C505C0"/>
    <w:rsid w:val="36DD7D49"/>
    <w:rsid w:val="36EC1C61"/>
    <w:rsid w:val="36EE3C2B"/>
    <w:rsid w:val="36F32FEF"/>
    <w:rsid w:val="373D070E"/>
    <w:rsid w:val="37BA1D5F"/>
    <w:rsid w:val="389F0F6F"/>
    <w:rsid w:val="38F372D7"/>
    <w:rsid w:val="3966011F"/>
    <w:rsid w:val="39954A8F"/>
    <w:rsid w:val="399C4F22"/>
    <w:rsid w:val="39A13896"/>
    <w:rsid w:val="39BD4C60"/>
    <w:rsid w:val="39F23A32"/>
    <w:rsid w:val="39F65A1C"/>
    <w:rsid w:val="3AA34828"/>
    <w:rsid w:val="3AA840F1"/>
    <w:rsid w:val="3B394A75"/>
    <w:rsid w:val="3B8546EE"/>
    <w:rsid w:val="3BE06175"/>
    <w:rsid w:val="3C1E5E8B"/>
    <w:rsid w:val="3CA73656"/>
    <w:rsid w:val="3CBE7BFC"/>
    <w:rsid w:val="3CCB40C7"/>
    <w:rsid w:val="3CD53E27"/>
    <w:rsid w:val="3CD613E9"/>
    <w:rsid w:val="3CEE5890"/>
    <w:rsid w:val="3D163C16"/>
    <w:rsid w:val="3D18555E"/>
    <w:rsid w:val="3DAE5EC2"/>
    <w:rsid w:val="3DE7358A"/>
    <w:rsid w:val="3DF14F82"/>
    <w:rsid w:val="3E335358"/>
    <w:rsid w:val="3E3C527C"/>
    <w:rsid w:val="3E65013F"/>
    <w:rsid w:val="3E703177"/>
    <w:rsid w:val="3EDC6A5F"/>
    <w:rsid w:val="3F47212A"/>
    <w:rsid w:val="3F4D5211"/>
    <w:rsid w:val="3F76656C"/>
    <w:rsid w:val="3F7F2B3A"/>
    <w:rsid w:val="3FF676AC"/>
    <w:rsid w:val="405C3814"/>
    <w:rsid w:val="40607FBD"/>
    <w:rsid w:val="40E952E6"/>
    <w:rsid w:val="410907CF"/>
    <w:rsid w:val="412F5937"/>
    <w:rsid w:val="41780CC1"/>
    <w:rsid w:val="41C619F5"/>
    <w:rsid w:val="420E33D3"/>
    <w:rsid w:val="424142CE"/>
    <w:rsid w:val="424749CE"/>
    <w:rsid w:val="42732677"/>
    <w:rsid w:val="428A75C5"/>
    <w:rsid w:val="42B75819"/>
    <w:rsid w:val="43206330"/>
    <w:rsid w:val="438C15A6"/>
    <w:rsid w:val="43FC2A2E"/>
    <w:rsid w:val="443815DD"/>
    <w:rsid w:val="44661ADD"/>
    <w:rsid w:val="448E6105"/>
    <w:rsid w:val="4494217D"/>
    <w:rsid w:val="44A1408B"/>
    <w:rsid w:val="454B3FF6"/>
    <w:rsid w:val="45925B31"/>
    <w:rsid w:val="45B002FD"/>
    <w:rsid w:val="45E51296"/>
    <w:rsid w:val="45ED3300"/>
    <w:rsid w:val="460340E9"/>
    <w:rsid w:val="461F1083"/>
    <w:rsid w:val="464949DA"/>
    <w:rsid w:val="4687719A"/>
    <w:rsid w:val="46967597"/>
    <w:rsid w:val="46B65010"/>
    <w:rsid w:val="46BC0CC2"/>
    <w:rsid w:val="46E77111"/>
    <w:rsid w:val="47107FCF"/>
    <w:rsid w:val="47217705"/>
    <w:rsid w:val="47286DC3"/>
    <w:rsid w:val="47442CF9"/>
    <w:rsid w:val="47794E4B"/>
    <w:rsid w:val="47795E80"/>
    <w:rsid w:val="4786203C"/>
    <w:rsid w:val="47B032E4"/>
    <w:rsid w:val="47CE254D"/>
    <w:rsid w:val="481A20BB"/>
    <w:rsid w:val="481F2ADD"/>
    <w:rsid w:val="484E15DE"/>
    <w:rsid w:val="48614F5F"/>
    <w:rsid w:val="489108BA"/>
    <w:rsid w:val="48B16866"/>
    <w:rsid w:val="48E7672C"/>
    <w:rsid w:val="48F61C96"/>
    <w:rsid w:val="493770D6"/>
    <w:rsid w:val="49CE21F0"/>
    <w:rsid w:val="49D15B7B"/>
    <w:rsid w:val="4A8E6E5F"/>
    <w:rsid w:val="4B101112"/>
    <w:rsid w:val="4BD42F98"/>
    <w:rsid w:val="4C207F8B"/>
    <w:rsid w:val="4C5F6C91"/>
    <w:rsid w:val="4CAF7561"/>
    <w:rsid w:val="4D540763"/>
    <w:rsid w:val="4D7560B4"/>
    <w:rsid w:val="4D88228C"/>
    <w:rsid w:val="4D926C66"/>
    <w:rsid w:val="4DAE15C6"/>
    <w:rsid w:val="4DBC1F35"/>
    <w:rsid w:val="4EF92484"/>
    <w:rsid w:val="4F247B46"/>
    <w:rsid w:val="4F264028"/>
    <w:rsid w:val="4F473A81"/>
    <w:rsid w:val="4F7800DE"/>
    <w:rsid w:val="4FD270C2"/>
    <w:rsid w:val="4FDF5686"/>
    <w:rsid w:val="4FFC645A"/>
    <w:rsid w:val="4FFE4A87"/>
    <w:rsid w:val="50102096"/>
    <w:rsid w:val="501851AC"/>
    <w:rsid w:val="505F5B5A"/>
    <w:rsid w:val="506B379F"/>
    <w:rsid w:val="50EA2B50"/>
    <w:rsid w:val="50FD6AED"/>
    <w:rsid w:val="517D5C35"/>
    <w:rsid w:val="51B71395"/>
    <w:rsid w:val="51BE08D0"/>
    <w:rsid w:val="5225646F"/>
    <w:rsid w:val="52BD34BD"/>
    <w:rsid w:val="52DB1B49"/>
    <w:rsid w:val="52E3381B"/>
    <w:rsid w:val="532008F1"/>
    <w:rsid w:val="53300DCE"/>
    <w:rsid w:val="53330B0D"/>
    <w:rsid w:val="53603363"/>
    <w:rsid w:val="53725590"/>
    <w:rsid w:val="53981AA3"/>
    <w:rsid w:val="53994E29"/>
    <w:rsid w:val="53C34F2A"/>
    <w:rsid w:val="53EE3DAD"/>
    <w:rsid w:val="5404547A"/>
    <w:rsid w:val="540F1E41"/>
    <w:rsid w:val="541A47CE"/>
    <w:rsid w:val="547377E6"/>
    <w:rsid w:val="549459BA"/>
    <w:rsid w:val="54C340AD"/>
    <w:rsid w:val="54DB11E8"/>
    <w:rsid w:val="54FF095A"/>
    <w:rsid w:val="55351319"/>
    <w:rsid w:val="554B07B7"/>
    <w:rsid w:val="55781E88"/>
    <w:rsid w:val="559937B4"/>
    <w:rsid w:val="55D911AB"/>
    <w:rsid w:val="55F7564C"/>
    <w:rsid w:val="56D600ED"/>
    <w:rsid w:val="56D77DE0"/>
    <w:rsid w:val="56F50481"/>
    <w:rsid w:val="57123063"/>
    <w:rsid w:val="5712423F"/>
    <w:rsid w:val="578769B3"/>
    <w:rsid w:val="57C540DC"/>
    <w:rsid w:val="57CC5B31"/>
    <w:rsid w:val="58020E8D"/>
    <w:rsid w:val="58D82F25"/>
    <w:rsid w:val="58E4543B"/>
    <w:rsid w:val="58E67E67"/>
    <w:rsid w:val="59271254"/>
    <w:rsid w:val="59337B19"/>
    <w:rsid w:val="5A2A5E98"/>
    <w:rsid w:val="5A7B6CD4"/>
    <w:rsid w:val="5AB4621D"/>
    <w:rsid w:val="5ACA1A19"/>
    <w:rsid w:val="5AFC1BC3"/>
    <w:rsid w:val="5B1213E7"/>
    <w:rsid w:val="5B2310CD"/>
    <w:rsid w:val="5B305D11"/>
    <w:rsid w:val="5B631C42"/>
    <w:rsid w:val="5B6F1725"/>
    <w:rsid w:val="5BB928F2"/>
    <w:rsid w:val="5C0B4A27"/>
    <w:rsid w:val="5C426912"/>
    <w:rsid w:val="5CE2128D"/>
    <w:rsid w:val="5D6C494E"/>
    <w:rsid w:val="5D7719D5"/>
    <w:rsid w:val="5DBF75F1"/>
    <w:rsid w:val="5DCA145A"/>
    <w:rsid w:val="5DFF7DB2"/>
    <w:rsid w:val="5E0A5B42"/>
    <w:rsid w:val="5E906696"/>
    <w:rsid w:val="5E960F10"/>
    <w:rsid w:val="5EA42C9D"/>
    <w:rsid w:val="5ED806DB"/>
    <w:rsid w:val="5F3E5B12"/>
    <w:rsid w:val="5F81144A"/>
    <w:rsid w:val="5FAA4657"/>
    <w:rsid w:val="5FC81A52"/>
    <w:rsid w:val="5FF008FD"/>
    <w:rsid w:val="606326D8"/>
    <w:rsid w:val="60874302"/>
    <w:rsid w:val="60894CF6"/>
    <w:rsid w:val="609C56E6"/>
    <w:rsid w:val="60B62264"/>
    <w:rsid w:val="60C5514D"/>
    <w:rsid w:val="61077514"/>
    <w:rsid w:val="611D2893"/>
    <w:rsid w:val="613D1187"/>
    <w:rsid w:val="61812E22"/>
    <w:rsid w:val="62194391"/>
    <w:rsid w:val="62347E94"/>
    <w:rsid w:val="6244770A"/>
    <w:rsid w:val="62554311"/>
    <w:rsid w:val="627C7C08"/>
    <w:rsid w:val="628D3A49"/>
    <w:rsid w:val="62BF12F1"/>
    <w:rsid w:val="62C3746A"/>
    <w:rsid w:val="62CB0941"/>
    <w:rsid w:val="63231FC4"/>
    <w:rsid w:val="63307549"/>
    <w:rsid w:val="635441A8"/>
    <w:rsid w:val="63AD43F6"/>
    <w:rsid w:val="63E36016"/>
    <w:rsid w:val="64167B1A"/>
    <w:rsid w:val="647F74E6"/>
    <w:rsid w:val="64AC5097"/>
    <w:rsid w:val="64C5396E"/>
    <w:rsid w:val="652B7DC7"/>
    <w:rsid w:val="65443F6E"/>
    <w:rsid w:val="65517D0A"/>
    <w:rsid w:val="65EE01D4"/>
    <w:rsid w:val="660F5CD7"/>
    <w:rsid w:val="6648409A"/>
    <w:rsid w:val="665F03F3"/>
    <w:rsid w:val="66D01003"/>
    <w:rsid w:val="67446DCC"/>
    <w:rsid w:val="67D25CD4"/>
    <w:rsid w:val="680A4BFE"/>
    <w:rsid w:val="680E1188"/>
    <w:rsid w:val="681C640C"/>
    <w:rsid w:val="682B3B42"/>
    <w:rsid w:val="684B5F51"/>
    <w:rsid w:val="685C2232"/>
    <w:rsid w:val="68696814"/>
    <w:rsid w:val="692A1FF1"/>
    <w:rsid w:val="692A5D2C"/>
    <w:rsid w:val="69376CDC"/>
    <w:rsid w:val="6A4B5A95"/>
    <w:rsid w:val="6A7C1D4B"/>
    <w:rsid w:val="6A9B0F54"/>
    <w:rsid w:val="6A9F614E"/>
    <w:rsid w:val="6AD55F8D"/>
    <w:rsid w:val="6B3F2CDA"/>
    <w:rsid w:val="6B4355EC"/>
    <w:rsid w:val="6C0B610A"/>
    <w:rsid w:val="6C1A00FB"/>
    <w:rsid w:val="6C264CF2"/>
    <w:rsid w:val="6C3B39D3"/>
    <w:rsid w:val="6C6475C8"/>
    <w:rsid w:val="6C6A466A"/>
    <w:rsid w:val="6C6C7228"/>
    <w:rsid w:val="6C703147"/>
    <w:rsid w:val="6CDC1B77"/>
    <w:rsid w:val="6D4847CA"/>
    <w:rsid w:val="6D4F637B"/>
    <w:rsid w:val="6D8551BE"/>
    <w:rsid w:val="6D99185F"/>
    <w:rsid w:val="6DB4632D"/>
    <w:rsid w:val="6DDB1B0C"/>
    <w:rsid w:val="6E25722B"/>
    <w:rsid w:val="6EA01FA3"/>
    <w:rsid w:val="6EBE3907"/>
    <w:rsid w:val="6ECF4202"/>
    <w:rsid w:val="6EE36ECA"/>
    <w:rsid w:val="6EFC7F8C"/>
    <w:rsid w:val="6F5850AF"/>
    <w:rsid w:val="6F62089A"/>
    <w:rsid w:val="6F826C67"/>
    <w:rsid w:val="6FC62313"/>
    <w:rsid w:val="6FCA1E38"/>
    <w:rsid w:val="70527759"/>
    <w:rsid w:val="709A14E2"/>
    <w:rsid w:val="70B41184"/>
    <w:rsid w:val="712E79D0"/>
    <w:rsid w:val="71681909"/>
    <w:rsid w:val="71BE2A2A"/>
    <w:rsid w:val="73010267"/>
    <w:rsid w:val="73491C0D"/>
    <w:rsid w:val="73BB6668"/>
    <w:rsid w:val="73D72D76"/>
    <w:rsid w:val="73E61789"/>
    <w:rsid w:val="742A41ED"/>
    <w:rsid w:val="74555F5A"/>
    <w:rsid w:val="745A2EB6"/>
    <w:rsid w:val="745B47E2"/>
    <w:rsid w:val="746C581C"/>
    <w:rsid w:val="749F1296"/>
    <w:rsid w:val="75351F96"/>
    <w:rsid w:val="75363ACC"/>
    <w:rsid w:val="75B4584F"/>
    <w:rsid w:val="75B66BE1"/>
    <w:rsid w:val="75B825C9"/>
    <w:rsid w:val="75E34CCF"/>
    <w:rsid w:val="75EA7F9D"/>
    <w:rsid w:val="75EB1910"/>
    <w:rsid w:val="75F01C2D"/>
    <w:rsid w:val="762D1373"/>
    <w:rsid w:val="764D5571"/>
    <w:rsid w:val="76790E3D"/>
    <w:rsid w:val="76A41635"/>
    <w:rsid w:val="76DE1430"/>
    <w:rsid w:val="76E27DFE"/>
    <w:rsid w:val="76FD0D45"/>
    <w:rsid w:val="76FF2630"/>
    <w:rsid w:val="770F2826"/>
    <w:rsid w:val="77277B70"/>
    <w:rsid w:val="775319DF"/>
    <w:rsid w:val="77583471"/>
    <w:rsid w:val="775E66E2"/>
    <w:rsid w:val="776B5CAF"/>
    <w:rsid w:val="7797058A"/>
    <w:rsid w:val="77D5581E"/>
    <w:rsid w:val="77EA16F7"/>
    <w:rsid w:val="77F21756"/>
    <w:rsid w:val="782567A5"/>
    <w:rsid w:val="788E0727"/>
    <w:rsid w:val="789773AA"/>
    <w:rsid w:val="78CA4C57"/>
    <w:rsid w:val="78F733B1"/>
    <w:rsid w:val="7918058F"/>
    <w:rsid w:val="791C2E96"/>
    <w:rsid w:val="79201A39"/>
    <w:rsid w:val="79331E3F"/>
    <w:rsid w:val="795A247F"/>
    <w:rsid w:val="797B04BC"/>
    <w:rsid w:val="79A25BD4"/>
    <w:rsid w:val="79B04B3A"/>
    <w:rsid w:val="79C05586"/>
    <w:rsid w:val="79F0693F"/>
    <w:rsid w:val="79F53747"/>
    <w:rsid w:val="79F665EC"/>
    <w:rsid w:val="7AA5772A"/>
    <w:rsid w:val="7ADA3726"/>
    <w:rsid w:val="7B1824BC"/>
    <w:rsid w:val="7B310FBD"/>
    <w:rsid w:val="7B754656"/>
    <w:rsid w:val="7BB04DAB"/>
    <w:rsid w:val="7C0417C8"/>
    <w:rsid w:val="7C262AEC"/>
    <w:rsid w:val="7C6E76EC"/>
    <w:rsid w:val="7CF229CE"/>
    <w:rsid w:val="7D0D7808"/>
    <w:rsid w:val="7D2C5EE0"/>
    <w:rsid w:val="7D3204B3"/>
    <w:rsid w:val="7DBE6F50"/>
    <w:rsid w:val="7E3526C5"/>
    <w:rsid w:val="7E372D8F"/>
    <w:rsid w:val="7E5C27F5"/>
    <w:rsid w:val="7E7C4C45"/>
    <w:rsid w:val="7E996F13"/>
    <w:rsid w:val="7ED732BF"/>
    <w:rsid w:val="7F211C26"/>
    <w:rsid w:val="7F514689"/>
    <w:rsid w:val="7F585DBC"/>
    <w:rsid w:val="7FF1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pPr>
    <w:rPr>
      <w:rFonts w:cs="Times New Roman"/>
      <w:sz w:val="24"/>
    </w:rPr>
  </w:style>
  <w:style w:type="character" w:styleId="8">
    <w:name w:val="Emphasis"/>
    <w:basedOn w:val="7"/>
    <w:qFormat/>
    <w:uiPriority w:val="0"/>
    <w:rPr>
      <w:i/>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A6EB6-3FCF-4EC7-8BE3-D53F8B4C0CFB}">
  <ds:schemaRefs/>
</ds:datastoreItem>
</file>

<file path=docProps/app.xml><?xml version="1.0" encoding="utf-8"?>
<Properties xmlns="http://schemas.openxmlformats.org/officeDocument/2006/extended-properties" xmlns:vt="http://schemas.openxmlformats.org/officeDocument/2006/docPropsVTypes">
  <Template>Normal</Template>
  <Pages>25</Pages>
  <Words>9448</Words>
  <Characters>11127</Characters>
  <Lines>55</Lines>
  <Paragraphs>15</Paragraphs>
  <TotalTime>1</TotalTime>
  <ScaleCrop>false</ScaleCrop>
  <LinksUpToDate>false</LinksUpToDate>
  <CharactersWithSpaces>11610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2021-09-01T14:56:00Z</dcterms:created>
  <dc:creator>李嘉玉</dc:creator>
  <cp:lastModifiedBy>米米</cp:lastModifiedBy>
  <cp:lastPrinted>2023-09-18T01:38:00Z</cp:lastPrinted>
  <dcterms:modified xsi:type="dcterms:W3CDTF">2023-09-25T06:25:31Z</dcterms:modified>
  <dc:title>李嘉玉</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2022-08-16T14:25:56Z</vt:filetime>
  </property>
  <property fmtid="{D5CDD505-2E9C-101B-9397-08002B2CF9AE}" pid="4" name="KSOProductBuildVer">
    <vt:lpwstr>2052-12.1.0.15374</vt:lpwstr>
  </property>
  <property fmtid="{D5CDD505-2E9C-101B-9397-08002B2CF9AE}" pid="5" name="ICV">
    <vt:lpwstr>25B71FA1C9094A6BA3BACAF0E9FD6A95</vt:lpwstr>
  </property>
</Properties>
</file>